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6D41F" w14:textId="77777777" w:rsidR="00F94968" w:rsidRDefault="00895B5A">
      <w:pPr>
        <w:pStyle w:val="Title"/>
      </w:pPr>
      <w:r>
        <w:t>Chỉ số Công khai Ngân sách Tỉnh - POBI 2019</w:t>
      </w:r>
    </w:p>
    <w:p w14:paraId="4E249289" w14:textId="77777777" w:rsidR="00F94968" w:rsidRDefault="00895B5A">
      <w:pPr>
        <w:pStyle w:val="Subtitle"/>
      </w:pPr>
      <w:r>
        <w:t>Đo lường mức độ công khai ngân sách của các đơn vị dự toán và đơn vị được ngân sách nhà nước hỗ trợ</w:t>
      </w:r>
    </w:p>
    <w:p w14:paraId="6C167379" w14:textId="77777777" w:rsidR="00F94968" w:rsidRDefault="00895B5A">
      <w:pPr>
        <w:pStyle w:val="FirstParagraph"/>
      </w:pPr>
      <w:r>
        <w:rPr>
          <w:b/>
        </w:rPr>
        <w:t>LIÊN MINH MINH BẠCH NGÂN SÁCH (BTAP)</w:t>
      </w:r>
      <w:r>
        <w:t xml:space="preserve"> được thành lập năm 2014 với sự hỗ trợ từ tổ chức Oxfam Việt Nam. Mục tiêu của BTAP là tìm kiếm, thử nghiệm và thúc đẩy việc áp dụng các giải pháp hiệu quả hướng tới công khai minh bạch, trách nhiệm giải trình và sự tham gia của người dân trong quy trình ngân sách nhà nước tại Việt Nam, góp phần tạo ra những thay đổi tích cực vì sự phát triển của đất nước.</w:t>
      </w:r>
    </w:p>
    <w:p w14:paraId="3458E3C4" w14:textId="77777777" w:rsidR="00F94968" w:rsidRDefault="00895B5A">
      <w:pPr>
        <w:pStyle w:val="BodyText"/>
      </w:pPr>
      <w:r>
        <w:rPr>
          <w:b/>
        </w:rPr>
        <w:t>TRUNG TÂM PHÁT TRIỂN VÀ HỘI NHẬP (CDI)</w:t>
      </w:r>
      <w:r>
        <w:t xml:space="preserve"> là một tổ chức phi chính phủ của Việt Nam thành lập năm 2005. CDI đóng góp cho tiến trình công khai minh bạch thông qua việc tạo điều kiện cho người dân và xã hội tham gia vào việc xây dựng và giám sát chính sách. CDI thực hiện các nghiên cứu, nâng cao năng lực, tham gia xây dựng chính sách. CDI hiện đang là tổ chức điều phối Liên minh minh bạch ngân sách (BTAP).</w:t>
      </w:r>
    </w:p>
    <w:p w14:paraId="5126A4F4" w14:textId="46D87B4B" w:rsidR="00F94968" w:rsidRDefault="00895B5A">
      <w:pPr>
        <w:pStyle w:val="BodyText"/>
      </w:pPr>
      <w:r>
        <w:rPr>
          <w:b/>
        </w:rPr>
        <w:t>VIỆN NGHIÊN CỨU KINH TẾ VÀ CHÍNH SÁCH (VEPR)</w:t>
      </w:r>
      <w:r>
        <w:t>, tiền thân là Trung tâm Nghiên cứu Kinh tế và Chính sách, được thành lập từ 2008 và hiện trực thuộc Trường Đại học Kinh tế - Đại học Quốc gia Hà Nội. VEPR thực hiện các nghiên cứu kinh tế và chính sách nhằm giúp nâng cao chất lượng ra quyết định của các cơ quan hoạch định chính sách, doanh nghiệp và các nhóm lợi ích, dựa trên sự thấu hiểu bản chất của những vận động kinh tế và quá trình điều hành chính sách vĩ mô ở Việt Nam.</w:t>
      </w:r>
    </w:p>
    <w:p w14:paraId="6C710110" w14:textId="6C5FA735" w:rsidR="00C24004" w:rsidRDefault="00C24004">
      <w:pPr>
        <w:pStyle w:val="BodyText"/>
      </w:pPr>
    </w:p>
    <w:p w14:paraId="2C9E9185" w14:textId="41E655D7" w:rsidR="00C24004" w:rsidRDefault="00C24004" w:rsidP="00C24004">
      <w:pPr>
        <w:pStyle w:val="BodyText"/>
        <w:jc w:val="center"/>
        <w:rPr>
          <w:b/>
          <w:bCs/>
        </w:rPr>
      </w:pPr>
      <w:r>
        <w:rPr>
          <w:b/>
          <w:bCs/>
          <w:noProof/>
        </w:rPr>
        <w:drawing>
          <wp:anchor distT="0" distB="0" distL="114300" distR="114300" simplePos="0" relativeHeight="251659264" behindDoc="0" locked="0" layoutInCell="1" allowOverlap="1" wp14:anchorId="40C7E72D" wp14:editId="1FFD1706">
            <wp:simplePos x="0" y="0"/>
            <wp:positionH relativeFrom="column">
              <wp:posOffset>3263265</wp:posOffset>
            </wp:positionH>
            <wp:positionV relativeFrom="paragraph">
              <wp:posOffset>563245</wp:posOffset>
            </wp:positionV>
            <wp:extent cx="1849755" cy="565150"/>
            <wp:effectExtent l="0" t="0" r="0"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AS_Logo_Orig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9755" cy="565150"/>
                    </a:xfrm>
                    <a:prstGeom prst="rect">
                      <a:avLst/>
                    </a:prstGeom>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58240" behindDoc="0" locked="0" layoutInCell="1" allowOverlap="1" wp14:anchorId="330342AB" wp14:editId="1F7762A3">
            <wp:simplePos x="0" y="0"/>
            <wp:positionH relativeFrom="margin">
              <wp:posOffset>812800</wp:posOffset>
            </wp:positionH>
            <wp:positionV relativeFrom="paragraph">
              <wp:posOffset>544195</wp:posOffset>
            </wp:positionV>
            <wp:extent cx="1572260" cy="60960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xfam_logo_horizontal_green_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2260" cy="609600"/>
                    </a:xfrm>
                    <a:prstGeom prst="rect">
                      <a:avLst/>
                    </a:prstGeom>
                  </pic:spPr>
                </pic:pic>
              </a:graphicData>
            </a:graphic>
            <wp14:sizeRelH relativeFrom="margin">
              <wp14:pctWidth>0</wp14:pctWidth>
            </wp14:sizeRelH>
            <wp14:sizeRelV relativeFrom="margin">
              <wp14:pctHeight>0</wp14:pctHeight>
            </wp14:sizeRelV>
          </wp:anchor>
        </w:drawing>
      </w:r>
      <w:r w:rsidRPr="00C24004">
        <w:rPr>
          <w:b/>
          <w:bCs/>
        </w:rPr>
        <w:t>Báo cáo này được th</w:t>
      </w:r>
      <w:r>
        <w:rPr>
          <w:b/>
          <w:bCs/>
        </w:rPr>
        <w:t>ực hiện dưới sự hỗ trợ của</w:t>
      </w:r>
    </w:p>
    <w:p w14:paraId="3C78006F" w14:textId="62B5684E" w:rsidR="00C24004" w:rsidRPr="00C24004" w:rsidRDefault="00C24004" w:rsidP="00C24004"/>
    <w:p w14:paraId="646F6B33" w14:textId="21706ED4" w:rsidR="00C24004" w:rsidRPr="00C24004" w:rsidRDefault="00C24004" w:rsidP="00C24004"/>
    <w:p w14:paraId="715872AF" w14:textId="55CB1F28" w:rsidR="00C24004" w:rsidRPr="00C24004" w:rsidRDefault="00C24004" w:rsidP="00C24004">
      <w:pPr>
        <w:tabs>
          <w:tab w:val="left" w:pos="5940"/>
        </w:tabs>
      </w:pPr>
      <w:r>
        <w:tab/>
      </w:r>
    </w:p>
    <w:p w14:paraId="233F7DD5" w14:textId="77777777" w:rsidR="00C24004" w:rsidRPr="00C24004" w:rsidRDefault="00C24004" w:rsidP="00C24004"/>
    <w:p w14:paraId="5292FACF" w14:textId="1733E71E" w:rsidR="00F94968" w:rsidRDefault="00895B5A">
      <w:pPr>
        <w:pStyle w:val="Heading2"/>
      </w:pPr>
      <w:bookmarkStart w:id="0" w:name="giới-thiệu-chung"/>
      <w:r>
        <w:lastRenderedPageBreak/>
        <w:t>Giới thiệu chung</w:t>
      </w:r>
      <w:bookmarkEnd w:id="0"/>
    </w:p>
    <w:p w14:paraId="6BACACB1" w14:textId="77777777" w:rsidR="00F94968" w:rsidRDefault="00895B5A">
      <w:pPr>
        <w:pStyle w:val="FirstParagraph"/>
      </w:pPr>
      <w:r>
        <w:t>Việt Nam đang thực hiện các tiến bộ để cải cách tài chính công, góp phần nâng cao hiệu quả sử dụng ngân sách của Chính phủ. Tăng cường tính minh bạch và công khai về ngân sách là một trong những nội dung quan trọng của lần cải cách này.</w:t>
      </w:r>
    </w:p>
    <w:p w14:paraId="5A69E5CE" w14:textId="77777777" w:rsidR="00F94968" w:rsidRDefault="00895B5A">
      <w:pPr>
        <w:pStyle w:val="BodyText"/>
      </w:pPr>
      <w:r>
        <w:t>Khảo sát Chỉ số công khai ngân sách tỉnh (với tên viết tắt tiếng Anh là POBI) là khảo sát đầu tiên ở Việt Nam về mức độ công khai ngân sách tỉnh bắt đầu từ năm 2017 và tiếp tục được thực hiện đối với năm 2018 và hiện tại là 2019. Chỉ số công khai ngân sách (POBI) là công cụ giúp các tỉnh, thành phố có thể tham chiếu và đo đạc mức độ công khai, minh bạch trong quản lý NSNN và mức độ thực thi Luật NSNN năm 2015. POBI giúp tăng niềm tin của người dân và các đối tác phát triển đối với quản lý ngân sách tại địa phương thông qua các hình thức minh bạch, giải trình và sự tham gia về ngân sách. POBI là cũng là công cụ giúp cho Việt Nam thực hiện ngày càng tốt hơn nỗ lực cải cách hành chính và tài khóa, góp phần thực hiện cam kết với mục tiêu phát triển bền vững SDG 16 về minh bạch, giải trình có sự tham gia của người dân. Với POBI, chính quyền địa phương có thể theo dõi, đánh giá mức độ công khai minh bạch về ngân sách nhằm nâng cao hiệu quả và hiệu lực quản trị địa phương.</w:t>
      </w:r>
    </w:p>
    <w:p w14:paraId="2BA1F212" w14:textId="4596572A" w:rsidR="00F94968" w:rsidRDefault="00895B5A">
      <w:pPr>
        <w:pStyle w:val="BodyText"/>
      </w:pPr>
      <w:bookmarkStart w:id="1" w:name="_GoBack"/>
      <w:r>
        <w:t>POBI là một sáng kiến quốc gia, được thực hiện độc lập bởi các tổ chức nghiên cứu, phi lợi nhuận. Khảo sát POBI 2019 được thực hiện chính bởi hai tổ chức thành viên Liên minh BTAP là Trung tâm Phát triển và Hội nhập (CDI) và Viện nghiên cứu Kinh tế và Chính sách (VEPR) với sự hỗ trợ của tổ chức Oxfam</w:t>
      </w:r>
      <w:r w:rsidR="00C24004">
        <w:t xml:space="preserve"> và </w:t>
      </w:r>
      <w:r w:rsidR="00C24004" w:rsidRPr="00C24004">
        <w:t>Việ</w:t>
      </w:r>
      <w:r w:rsidR="00EC4314">
        <w:t>n Konrad-</w:t>
      </w:r>
      <w:r w:rsidR="00C24004" w:rsidRPr="00C24004">
        <w:t>Adenauer</w:t>
      </w:r>
      <w:r w:rsidR="00EC4314">
        <w:t>-Stiftung (KAS)</w:t>
      </w:r>
      <w:r w:rsidR="00C24004" w:rsidRPr="00C24004">
        <w:t xml:space="preserve"> tại Việt Nam</w:t>
      </w:r>
      <w:r>
        <w:t>, trong khuôn khổ dự án “Thúc đẩy công khai, minh bạch và sự tham gia của người dân vào quản lý ngân sách Nhà nước.”</w:t>
      </w:r>
    </w:p>
    <w:bookmarkEnd w:id="1"/>
    <w:p w14:paraId="7ED05508" w14:textId="77777777" w:rsidR="00F94968" w:rsidRDefault="00895B5A">
      <w:pPr>
        <w:pStyle w:val="BodyText"/>
      </w:pPr>
      <w:r>
        <w:t>Bộ câu hỏi khảo sát POBI được thiết kế dựa trên các quy định của Luật NSNN năm 2015 và các quy định về công khai minh bạch hiện hành của Việt Nam. Phương pháp đánh giá POBI được xây dựng dựa vào tham khảo phương pháp khảo sát về công khai ngân sách quốc gia (OBI) của Tổ chức Đối tác ngân sách Quốc tế (IBP) và các chuẩn mực quốc tế trong lĩnh vực ngân sách (bao gồm các hướng dẫn của IMF, OECD, INTOSAI).</w:t>
      </w:r>
    </w:p>
    <w:p w14:paraId="195B1276" w14:textId="77777777" w:rsidR="00F94968" w:rsidRDefault="00895B5A">
      <w:pPr>
        <w:pStyle w:val="BodyText"/>
      </w:pPr>
      <w:r>
        <w:t>POBI 2019 là khảo sát dựa trên bằng chứng về công khai các tài liệu ngân sách địa phương của 63 tỉnh, thành phố Việt Nam. Nguồn minh chứng là các tài liệu ngân sách tỉnh được công khai trên cổng thông tin điện tử của UBND, HĐND, Sở Tài chính và Sở Kế hoạch và Đầu tư của tỉnh.</w:t>
      </w:r>
    </w:p>
    <w:p w14:paraId="55E00AC3" w14:textId="77777777" w:rsidR="00F94968" w:rsidRDefault="00895B5A">
      <w:pPr>
        <w:pStyle w:val="BodyText"/>
      </w:pPr>
      <w:bookmarkStart w:id="2" w:name="_Hlk44908948"/>
      <w:r>
        <w:lastRenderedPageBreak/>
        <w:t>POBI 2019 bao gồm hai trụ cột về quá trình công khai minh bạch và sự tham gia về ngân sách gồm (i) trụ cột về minh bạch công khai ngân sách; (ii) trụ cột về sự tham gia. Năm 2019 là năm thứ hai thực hiện khảo sát POBI có các yếu tố về sự tham gia.</w:t>
      </w:r>
    </w:p>
    <w:bookmarkEnd w:id="2"/>
    <w:p w14:paraId="0F09C923" w14:textId="4A115804" w:rsidR="00F94968" w:rsidRDefault="00895B5A">
      <w:pPr>
        <w:pStyle w:val="BodyText"/>
      </w:pPr>
      <w:r>
        <w:rPr>
          <w:i/>
        </w:rPr>
        <w:t>Trụ cột thứ nhất</w:t>
      </w:r>
      <w:r>
        <w:t xml:space="preserve">, </w:t>
      </w:r>
      <w:r>
        <w:rPr>
          <w:b/>
        </w:rPr>
        <w:t>về công khai minh bạch ngân sách</w:t>
      </w:r>
      <w:r>
        <w:t>. Trụ cột này bao gồm các chỉ số về tính đầy đủ, kịp thời, sẵn có</w:t>
      </w:r>
      <w:r w:rsidR="00251F9B">
        <w:t>,</w:t>
      </w:r>
      <w:r>
        <w:t xml:space="preserve"> thuận tiện</w:t>
      </w:r>
      <w:r w:rsidR="00251F9B">
        <w:t>, và mức độ tin cậy</w:t>
      </w:r>
      <w:r>
        <w:t xml:space="preserve"> của 10 loại tài liệu ngân sách. Trụ cột này được tính là chỉ số công khai ngân sách POBI 2019. Trụ cột này gồm 76 câu hỏi có tính điểm. Điểm số POBI 2019 là điểm số của 76 câu hỏi này quy về thang điểm 100. Trong số 10 tài liệu khảo sát để tính điểm POBI 2018 có 7 loại tài liệu ngân sách bắt buộc phải công khai theo Luật ngân sách Nhà nước 2015</w:t>
      </w:r>
      <w:r w:rsidR="000E00A1">
        <w:t>; 2 tài liệu phải công khai theo như các văn bản luật khác của Việt Nam và 1</w:t>
      </w:r>
      <w:r>
        <w:t xml:space="preserve"> tài liệu ngân sách cần phải công khai theo như thông lệ tốt của quốc tế. 7 loại tài liệu bắt buộc phải công khai theo như Luật Ngân sách nhà nước 2015 bao gồm: (i) Báo cáo Dự thảo dự toán ngân sách tỉnh năm 20</w:t>
      </w:r>
      <w:r w:rsidR="00C83EB4">
        <w:t>20</w:t>
      </w:r>
      <w:r>
        <w:t xml:space="preserve"> trình Hội đồng nhân dân tỉnh; (ii) Báo cáo dự toán ngân sách tỉnh năm 20</w:t>
      </w:r>
      <w:r w:rsidR="00C83EB4">
        <w:t>20</w:t>
      </w:r>
      <w:r>
        <w:t xml:space="preserve"> đã được HĐND tỉnh quyết định; (iii) Báo cáo tình hình thực hiện ngân sách tỉnh quý 1/20</w:t>
      </w:r>
      <w:r w:rsidR="00C11CF5">
        <w:t>19</w:t>
      </w:r>
      <w:r>
        <w:t>; (iv) Báo cáo tình hình thực hiện ngân sách tỉnh 6 tháng đầu năm 201</w:t>
      </w:r>
      <w:r w:rsidR="00C11CF5">
        <w:t>9</w:t>
      </w:r>
      <w:r>
        <w:t>; (v) Báo cáo tình hình thực hiện ngân sách tỉnh quý 3/201</w:t>
      </w:r>
      <w:r w:rsidR="00C11CF5">
        <w:t>9</w:t>
      </w:r>
      <w:r>
        <w:t>; (vi) Báo cáo số liệu và thuyết minh tình hình thực hiện ngân sách tỉnh năm 201</w:t>
      </w:r>
      <w:r w:rsidR="00C11CF5">
        <w:t>9</w:t>
      </w:r>
      <w:r>
        <w:t xml:space="preserve">; (vii) Báo cáo quyết toán ngân sách tỉnh </w:t>
      </w:r>
      <w:r w:rsidR="00794628">
        <w:t xml:space="preserve">năm 2018 </w:t>
      </w:r>
      <w:r>
        <w:t xml:space="preserve">đã được HĐND tỉnh phê chuẩn. </w:t>
      </w:r>
      <w:r w:rsidR="000E00A1">
        <w:t>H</w:t>
      </w:r>
      <w:r w:rsidR="0089429C">
        <w:t>a</w:t>
      </w:r>
      <w:r>
        <w:t xml:space="preserve"> loại tài liệu công khai theo </w:t>
      </w:r>
      <w:r w:rsidR="000E00A1">
        <w:t>Luật Tiếp cận thông tin, Luật tư công và Luậ</w:t>
      </w:r>
      <w:r w:rsidR="00C51D58">
        <w:t>t</w:t>
      </w:r>
      <w:r w:rsidR="000E00A1">
        <w:t xml:space="preserve"> Quản lý nợ công</w:t>
      </w:r>
      <w:r>
        <w:t xml:space="preserve"> gồm (i) Danh mục dự án đầu tư công</w:t>
      </w:r>
      <w:r w:rsidR="000E00A1">
        <w:t xml:space="preserve"> và </w:t>
      </w:r>
      <w:r>
        <w:t xml:space="preserve">(ii) </w:t>
      </w:r>
      <w:r w:rsidR="00C51D58">
        <w:t>Báo cáo t</w:t>
      </w:r>
      <w:r>
        <w:t>ình hình nợ công của tỉnh.</w:t>
      </w:r>
      <w:r w:rsidR="000E00A1">
        <w:t xml:space="preserve"> Một tài liệu cần công khai theo như thông lệ tốt của quốc tế là Báo cáo ngân sách dành cho công dân.</w:t>
      </w:r>
    </w:p>
    <w:p w14:paraId="05760595" w14:textId="77777777" w:rsidR="00F94968" w:rsidRDefault="00895B5A">
      <w:pPr>
        <w:pStyle w:val="BodyText"/>
      </w:pPr>
      <w:r>
        <w:t>Có 2 tài liệu ngân sách không tính điểm trong trụ cột này gồm có: (i) Hướng dẫn xây dựng dự toán ngân sách cấp tỉnh năm 2019; và (ii) Kết quả kiểm toán ngân sách nhà nước, kết quả thực hiện các kiến nghị của Kiểm toán nhà nước năm 2017 hoặc 2018. Mặc dù hiện tại các tài liệu này theo Luật NSNN 2015 chưa phải là tài liệu bắt buộc công khai. Tuy nhiên đây là những thông lệ quốc tế tốt mà các tỉnh nên thực hiện. Việc công khai các tài liệu này giúp người dân có hiểu biết tốt hơn về tình hình quản lý ngân sách tại địa phương.</w:t>
      </w:r>
    </w:p>
    <w:p w14:paraId="1BC0CBA5" w14:textId="77777777" w:rsidR="00F94968" w:rsidRDefault="00895B5A">
      <w:pPr>
        <w:pStyle w:val="BodyText"/>
      </w:pPr>
      <w:r>
        <w:rPr>
          <w:i/>
        </w:rPr>
        <w:t>Trụ cột thứ hai</w:t>
      </w:r>
      <w:r>
        <w:t xml:space="preserve">, </w:t>
      </w:r>
      <w:r>
        <w:rPr>
          <w:b/>
        </w:rPr>
        <w:t>về sự tham gia của người dân trong quá trình ngân sách địa phương</w:t>
      </w:r>
      <w:r>
        <w:t>. Trụ cột này bao gồm tiêu chí về mức độ tham gia của người dân thông qua khảo sát mức độ UBND tỉnh và Sở Tài chính tỉnh tạo điều kiện cho người dân tham gia vào quy trình ngân sách tại tỉnh và trách nhiệm phản hồi của các cơ quan này đối với các câu hỏi của công dân liên quan tới ngân sách nhà nước.</w:t>
      </w:r>
    </w:p>
    <w:p w14:paraId="4E513A5A" w14:textId="77777777" w:rsidR="00F94968" w:rsidRDefault="00895B5A">
      <w:pPr>
        <w:pStyle w:val="BodyText"/>
      </w:pPr>
      <w:r>
        <w:lastRenderedPageBreak/>
        <w:t>POBI 2019 cũng đưa vào chấm điểm các tài liệu liên quan đến giám sát ngân sách và sự tham gia của người dân vào quá trình thực hiện và công khai ngân sách. Nội dung này được quy định tại Điều 16 – Luật NSNN 2015 và được hướng dẫn thi hành bởi Nghị định 163/2016/NĐ-CP quy định về chi tiết thi hành một số điều của Luật NSNN 2015.</w:t>
      </w:r>
    </w:p>
    <w:p w14:paraId="1D387E7E" w14:textId="11E9BFBB" w:rsidR="00F94968" w:rsidRDefault="00895B5A">
      <w:pPr>
        <w:pStyle w:val="BodyText"/>
      </w:pPr>
      <w:r>
        <w:t>Trụ cột này gồm 10 câu hỏi có tính điểm trong đó 8 câu hỏi về mức độ chính quyền địa phương tạo điều kiện để người dân tham gia vào chu trình ngân sách thông qua cổng thông tin điện tử của Sở Tài chính; 2 câu hỏi về mức độ phản hồi thông tin của Sở Tài chính tỉnh đối với câu hỏi/yêu cầu cung cấp thông tin của người dân.</w:t>
      </w:r>
    </w:p>
    <w:p w14:paraId="752A8704" w14:textId="54E660E4" w:rsidR="00C51D58" w:rsidRDefault="00C51D58" w:rsidP="00C51D58">
      <w:pPr>
        <w:pBdr>
          <w:top w:val="nil"/>
          <w:left w:val="nil"/>
          <w:bottom w:val="nil"/>
          <w:right w:val="nil"/>
          <w:between w:val="nil"/>
        </w:pBdr>
        <w:spacing w:before="180" w:after="180"/>
        <w:rPr>
          <w:color w:val="000000"/>
        </w:rPr>
      </w:pPr>
      <w:r>
        <w:t>Khảo sát POBI chỉ đánh giá “có” hoặc “không” công khai các tài liệu/nội dung/biểu mẫu của tài liệu tại thời điểm khảo sát</w:t>
      </w:r>
      <w:r>
        <w:rPr>
          <w:vertAlign w:val="superscript"/>
        </w:rPr>
        <w:footnoteReference w:id="1"/>
      </w:r>
      <w:r>
        <w:t xml:space="preserve"> trên cổng thông tin điện tử/trang thông tin điện tử của các đơn vị. Khảo sát POBI không đánh giá lý do tại sao các tài liệu/nội dung/bảng biểu không được công khai hoặc công khai chậm. Khảo sát POBI 2019 được áp dụng cho các tài liệu công khai trên cổng thông tin điện tử/trang tin điện tử của các đơn vị từ ngày 31/1/2020 trở về trước. </w:t>
      </w:r>
      <w:r w:rsidRPr="00CD70A8">
        <w:t>Các tài liệu được thay đổi hoặc bổ sung sau ngày 31/</w:t>
      </w:r>
      <w:r>
        <w:t>1</w:t>
      </w:r>
      <w:r w:rsidRPr="00CD70A8">
        <w:t xml:space="preserve">/2020 không được </w:t>
      </w:r>
      <w:r>
        <w:t xml:space="preserve">coi là có công khai trong khảo </w:t>
      </w:r>
      <w:r w:rsidRPr="007369A2">
        <w:t>khảo sát MOBI</w:t>
      </w:r>
      <w:r w:rsidR="00726FBC">
        <w:t xml:space="preserve"> </w:t>
      </w:r>
      <w:r w:rsidRPr="007369A2">
        <w:t>2019</w:t>
      </w:r>
      <w:r>
        <w:rPr>
          <w:color w:val="000000"/>
        </w:rPr>
        <w:t xml:space="preserve">. </w:t>
      </w:r>
      <w:r w:rsidRPr="007369A2">
        <w:rPr>
          <w:color w:val="000000"/>
        </w:rPr>
        <w:t>(xem phụ lụ</w:t>
      </w:r>
      <w:r>
        <w:rPr>
          <w:color w:val="000000"/>
        </w:rPr>
        <w:t xml:space="preserve">c </w:t>
      </w:r>
      <w:r w:rsidRPr="007369A2">
        <w:rPr>
          <w:color w:val="000000"/>
        </w:rPr>
        <w:t>1)</w:t>
      </w:r>
      <w:r>
        <w:rPr>
          <w:color w:val="000000"/>
        </w:rPr>
        <w:t>.</w:t>
      </w:r>
      <w:r>
        <w:rPr>
          <w:i/>
          <w:color w:val="000000"/>
        </w:rPr>
        <w:t xml:space="preserve"> </w:t>
      </w:r>
    </w:p>
    <w:p w14:paraId="1B595B8D" w14:textId="77777777" w:rsidR="00F94968" w:rsidRDefault="00895B5A">
      <w:pPr>
        <w:pStyle w:val="BodyText"/>
      </w:pPr>
      <w:r>
        <w:t xml:space="preserve">Xếp hạng POBI 2019 về kết quả công khai minh bạch ngân sách của địa phương được thực hiện theo thang điểm với 4 mức. Mức A: Từ 75 – 100 điểm quy đổi, được hiểu là mức độ công khai </w:t>
      </w:r>
      <w:r>
        <w:rPr>
          <w:b/>
        </w:rPr>
        <w:t>ĐẦY ĐỦ</w:t>
      </w:r>
      <w:r>
        <w:t xml:space="preserve">. Mức B: Từ 50 – dưới 75 điểm quy đổi), được hiểu là mức độ công khai </w:t>
      </w:r>
      <w:r>
        <w:rPr>
          <w:b/>
        </w:rPr>
        <w:t>TƯƠNG ĐỐI</w:t>
      </w:r>
      <w:r>
        <w:t xml:space="preserve">. Mức C: Từ 25 – dưới 50 điểm quy đổi, được hiểu là mức độ công khai </w:t>
      </w:r>
      <w:r>
        <w:rPr>
          <w:b/>
        </w:rPr>
        <w:t>CHƯA ĐẦY ĐỦ</w:t>
      </w:r>
      <w:r>
        <w:t xml:space="preserve">. Mức D: Từ 0 – dưới 25 điểm quy đổi, được hiểu là mức độ công khai </w:t>
      </w:r>
      <w:r>
        <w:rPr>
          <w:b/>
        </w:rPr>
        <w:t>ÍT</w:t>
      </w:r>
      <w:r>
        <w:t xml:space="preserve"> (xem chi tiết trong phụ lục 2).</w:t>
      </w:r>
    </w:p>
    <w:p w14:paraId="0FAC797E" w14:textId="77777777" w:rsidR="00C404FE" w:rsidRDefault="00C404FE">
      <w:pPr>
        <w:pStyle w:val="BodyText"/>
      </w:pPr>
    </w:p>
    <w:p w14:paraId="012C93E7" w14:textId="77777777" w:rsidR="00C404FE" w:rsidRDefault="00C404FE">
      <w:pPr>
        <w:pStyle w:val="BodyText"/>
      </w:pPr>
    </w:p>
    <w:p w14:paraId="4E19F767" w14:textId="463F304B" w:rsidR="00F94968" w:rsidRDefault="00895B5A">
      <w:pPr>
        <w:pStyle w:val="BodyText"/>
      </w:pPr>
      <w:r>
        <w:t>.</w:t>
      </w:r>
    </w:p>
    <w:p w14:paraId="553519AF" w14:textId="58688169" w:rsidR="00F94968" w:rsidRDefault="00C6098C">
      <w:pPr>
        <w:pStyle w:val="Heading1"/>
      </w:pPr>
      <w:bookmarkStart w:id="3" w:name="tóm-tắt-tổng-quan"/>
      <w:r>
        <w:lastRenderedPageBreak/>
        <w:t>Phần 1</w:t>
      </w:r>
      <w:r>
        <w:br/>
      </w:r>
      <w:r w:rsidR="00895B5A">
        <w:t>Tóm tắt tổng quan</w:t>
      </w:r>
      <w:bookmarkEnd w:id="3"/>
    </w:p>
    <w:p w14:paraId="712744A9" w14:textId="77777777" w:rsidR="00F94968" w:rsidRDefault="00895B5A">
      <w:pPr>
        <w:pStyle w:val="Heading3"/>
      </w:pPr>
      <w:bookmarkStart w:id="4" w:name="kết-quả-xếp-hạng-về-minh-bạch-ngân-sách"/>
      <w:r>
        <w:t>Kết quả xếp hạng về minh bạch ngân sách</w:t>
      </w:r>
      <w:bookmarkEnd w:id="4"/>
    </w:p>
    <w:p w14:paraId="35317AF5" w14:textId="0D99E5AF" w:rsidR="00F94968" w:rsidRDefault="00895B5A" w:rsidP="00FF664C">
      <w:pPr>
        <w:pStyle w:val="FirstParagraph"/>
      </w:pPr>
      <w:r>
        <w:t xml:space="preserve">Kết quả khảo sát POBI 2019 cho thấy chỉ số trung bình về công khai ngân sách tỉnh đạt </w:t>
      </w:r>
      <w:r w:rsidR="009D0776">
        <w:t>65.55</w:t>
      </w:r>
      <w:r>
        <w:t xml:space="preserve"> điểm trên tổng số 100 điểm quy đổi xếp hạng, cao hơn so với chỉ số trung bình đối với POBI 2018 là 51 điểm và POBI 2017 là 30.5 điểm. Điều này cho thấy mức độ công khai ngân sách nhà nước của 63 tỉnh/thành phố năm 2019 đã cải thiện hơn so với năm 2017 và 2018. Năm 2019, có 24 tỉnh công khai ĐẦY ĐỦ thông tin về ngân sách nhà nước, trong khi năm 2018 chỉ có có 6 tỉnh công khai ĐẦY ĐỦ thông tin về ngân sách tỉnh.</w:t>
      </w:r>
      <w:r w:rsidR="00C51D58">
        <w:t xml:space="preserve"> </w:t>
      </w:r>
      <w:r>
        <w:t>Chi tiết kết quả xếp hạng công khai ngân sách của các tỉnh như bảng dưới đây:</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1710"/>
        <w:gridCol w:w="1980"/>
        <w:gridCol w:w="2070"/>
        <w:gridCol w:w="1890"/>
      </w:tblGrid>
      <w:tr w:rsidR="002B14A9" w14:paraId="4A6BC525" w14:textId="77777777" w:rsidTr="00923F69">
        <w:trPr>
          <w:jc w:val="center"/>
        </w:trPr>
        <w:tc>
          <w:tcPr>
            <w:tcW w:w="1255" w:type="dxa"/>
            <w:shd w:val="clear" w:color="auto" w:fill="2F5496" w:themeFill="accent1" w:themeFillShade="BF"/>
          </w:tcPr>
          <w:p w14:paraId="52D025D3" w14:textId="77777777" w:rsidR="002B14A9" w:rsidRPr="00B34DBB" w:rsidRDefault="002B14A9" w:rsidP="0073080D">
            <w:pPr>
              <w:jc w:val="center"/>
              <w:rPr>
                <w:b/>
                <w:color w:val="FFFFFF" w:themeColor="background1"/>
              </w:rPr>
            </w:pPr>
            <w:r w:rsidRPr="00B34DBB">
              <w:rPr>
                <w:b/>
                <w:color w:val="FFFFFF" w:themeColor="background1"/>
              </w:rPr>
              <w:t>Nă</w:t>
            </w:r>
            <w:r>
              <w:rPr>
                <w:b/>
                <w:color w:val="FFFFFF" w:themeColor="background1"/>
              </w:rPr>
              <w:t>m</w:t>
            </w:r>
          </w:p>
        </w:tc>
        <w:tc>
          <w:tcPr>
            <w:tcW w:w="1710" w:type="dxa"/>
            <w:shd w:val="clear" w:color="auto" w:fill="2F5496" w:themeFill="accent1" w:themeFillShade="BF"/>
          </w:tcPr>
          <w:p w14:paraId="16480418" w14:textId="77777777" w:rsidR="002B14A9" w:rsidRPr="00B34DBB" w:rsidRDefault="002B14A9" w:rsidP="0073080D">
            <w:pPr>
              <w:jc w:val="center"/>
              <w:rPr>
                <w:b/>
                <w:color w:val="FFFFFF" w:themeColor="background1"/>
              </w:rPr>
            </w:pPr>
            <w:r w:rsidRPr="00B34DBB">
              <w:rPr>
                <w:b/>
                <w:color w:val="FFFFFF" w:themeColor="background1"/>
              </w:rPr>
              <w:t>ĐẦY Đ</w:t>
            </w:r>
            <w:r w:rsidRPr="00B34DBB">
              <w:rPr>
                <w:b/>
                <w:bCs/>
                <w:color w:val="FFFFFF" w:themeColor="background1"/>
              </w:rPr>
              <w:t>Ủ</w:t>
            </w:r>
          </w:p>
          <w:p w14:paraId="63D1CA88" w14:textId="77777777" w:rsidR="002B14A9" w:rsidRPr="00B34DBB" w:rsidRDefault="002B14A9" w:rsidP="0073080D">
            <w:pPr>
              <w:jc w:val="center"/>
              <w:rPr>
                <w:color w:val="FFFFFF" w:themeColor="background1"/>
              </w:rPr>
            </w:pPr>
            <w:r w:rsidRPr="00B34DBB">
              <w:rPr>
                <w:color w:val="FFFFFF" w:themeColor="background1"/>
              </w:rPr>
              <w:t>75 - 100 điể</w:t>
            </w:r>
            <w:r>
              <w:rPr>
                <w:color w:val="FFFFFF" w:themeColor="background1"/>
              </w:rPr>
              <w:t>m</w:t>
            </w:r>
          </w:p>
        </w:tc>
        <w:tc>
          <w:tcPr>
            <w:tcW w:w="1980" w:type="dxa"/>
            <w:shd w:val="clear" w:color="auto" w:fill="2F5496" w:themeFill="accent1" w:themeFillShade="BF"/>
          </w:tcPr>
          <w:p w14:paraId="0253BDFE" w14:textId="77777777" w:rsidR="002B14A9" w:rsidRPr="00B34DBB" w:rsidRDefault="002B14A9" w:rsidP="0073080D">
            <w:pPr>
              <w:jc w:val="center"/>
              <w:rPr>
                <w:b/>
                <w:color w:val="FFFFFF" w:themeColor="background1"/>
              </w:rPr>
            </w:pPr>
            <w:r w:rsidRPr="00B34DBB">
              <w:rPr>
                <w:b/>
                <w:color w:val="FFFFFF" w:themeColor="background1"/>
              </w:rPr>
              <w:t>TƯƠNG ĐỐ</w:t>
            </w:r>
            <w:r w:rsidRPr="00B34DBB">
              <w:rPr>
                <w:b/>
                <w:bCs/>
                <w:color w:val="FFFFFF" w:themeColor="background1"/>
              </w:rPr>
              <w:t>I</w:t>
            </w:r>
          </w:p>
          <w:p w14:paraId="61AC730B" w14:textId="77777777" w:rsidR="002B14A9" w:rsidRPr="00B34DBB" w:rsidRDefault="002B14A9" w:rsidP="0073080D">
            <w:pPr>
              <w:jc w:val="center"/>
              <w:rPr>
                <w:color w:val="FFFFFF" w:themeColor="background1"/>
              </w:rPr>
            </w:pPr>
            <w:r w:rsidRPr="00B34DBB">
              <w:rPr>
                <w:color w:val="FFFFFF" w:themeColor="background1"/>
              </w:rPr>
              <w:t>50 - dưới 75 điể</w:t>
            </w:r>
            <w:r>
              <w:rPr>
                <w:color w:val="FFFFFF" w:themeColor="background1"/>
              </w:rPr>
              <w:t>m</w:t>
            </w:r>
          </w:p>
        </w:tc>
        <w:tc>
          <w:tcPr>
            <w:tcW w:w="2070" w:type="dxa"/>
            <w:shd w:val="clear" w:color="auto" w:fill="2F5496" w:themeFill="accent1" w:themeFillShade="BF"/>
          </w:tcPr>
          <w:p w14:paraId="2FC64890" w14:textId="77777777" w:rsidR="002B14A9" w:rsidRPr="00B34DBB" w:rsidRDefault="002B14A9" w:rsidP="0073080D">
            <w:pPr>
              <w:jc w:val="center"/>
              <w:rPr>
                <w:b/>
                <w:color w:val="FFFFFF" w:themeColor="background1"/>
              </w:rPr>
            </w:pPr>
            <w:r w:rsidRPr="00B34DBB">
              <w:rPr>
                <w:b/>
                <w:color w:val="FFFFFF" w:themeColor="background1"/>
              </w:rPr>
              <w:t>CHƯA ĐẦY Đ</w:t>
            </w:r>
            <w:r w:rsidRPr="00B34DBB">
              <w:rPr>
                <w:b/>
                <w:bCs/>
                <w:color w:val="FFFFFF" w:themeColor="background1"/>
              </w:rPr>
              <w:t>Ủ</w:t>
            </w:r>
          </w:p>
          <w:p w14:paraId="64DA8571" w14:textId="77777777" w:rsidR="002B14A9" w:rsidRPr="00B34DBB" w:rsidRDefault="002B14A9" w:rsidP="0073080D">
            <w:pPr>
              <w:jc w:val="center"/>
              <w:rPr>
                <w:color w:val="FFFFFF" w:themeColor="background1"/>
              </w:rPr>
            </w:pPr>
            <w:r w:rsidRPr="00B34DBB">
              <w:rPr>
                <w:color w:val="FFFFFF" w:themeColor="background1"/>
              </w:rPr>
              <w:t>25 - dưới 50 điể</w:t>
            </w:r>
            <w:r>
              <w:rPr>
                <w:color w:val="FFFFFF" w:themeColor="background1"/>
              </w:rPr>
              <w:t>m</w:t>
            </w:r>
          </w:p>
        </w:tc>
        <w:tc>
          <w:tcPr>
            <w:tcW w:w="1890" w:type="dxa"/>
            <w:shd w:val="clear" w:color="auto" w:fill="2F5496" w:themeFill="accent1" w:themeFillShade="BF"/>
          </w:tcPr>
          <w:p w14:paraId="2E3E24AE" w14:textId="77777777" w:rsidR="002B14A9" w:rsidRPr="00B34DBB" w:rsidRDefault="002B14A9" w:rsidP="0073080D">
            <w:pPr>
              <w:jc w:val="center"/>
              <w:rPr>
                <w:b/>
                <w:color w:val="FFFFFF" w:themeColor="background1"/>
              </w:rPr>
            </w:pPr>
            <w:r w:rsidRPr="00B34DBB">
              <w:rPr>
                <w:b/>
                <w:color w:val="FFFFFF" w:themeColor="background1"/>
              </w:rPr>
              <w:t>Í</w:t>
            </w:r>
            <w:r w:rsidRPr="00B34DBB">
              <w:rPr>
                <w:b/>
                <w:bCs/>
                <w:color w:val="FFFFFF" w:themeColor="background1"/>
              </w:rPr>
              <w:t>T</w:t>
            </w:r>
          </w:p>
          <w:p w14:paraId="2111FEE1" w14:textId="77777777" w:rsidR="002B14A9" w:rsidRPr="00B34DBB" w:rsidRDefault="002B14A9" w:rsidP="0073080D">
            <w:pPr>
              <w:jc w:val="center"/>
              <w:rPr>
                <w:color w:val="FFFFFF" w:themeColor="background1"/>
              </w:rPr>
            </w:pPr>
            <w:r w:rsidRPr="00B34DBB">
              <w:rPr>
                <w:color w:val="FFFFFF" w:themeColor="background1"/>
              </w:rPr>
              <w:t>0 - dưới 24 điể</w:t>
            </w:r>
            <w:r>
              <w:rPr>
                <w:color w:val="FFFFFF" w:themeColor="background1"/>
              </w:rPr>
              <w:t>m</w:t>
            </w:r>
          </w:p>
        </w:tc>
      </w:tr>
      <w:tr w:rsidR="002B14A9" w14:paraId="39798F93" w14:textId="77777777" w:rsidTr="00923F69">
        <w:trPr>
          <w:jc w:val="center"/>
        </w:trPr>
        <w:tc>
          <w:tcPr>
            <w:tcW w:w="1255" w:type="dxa"/>
          </w:tcPr>
          <w:p w14:paraId="2376FA41" w14:textId="242FF442" w:rsidR="002B14A9" w:rsidRDefault="002B14A9" w:rsidP="0073080D">
            <w:pPr>
              <w:jc w:val="center"/>
            </w:pPr>
            <w:r>
              <w:t>2019</w:t>
            </w:r>
          </w:p>
        </w:tc>
        <w:tc>
          <w:tcPr>
            <w:tcW w:w="1710" w:type="dxa"/>
          </w:tcPr>
          <w:p w14:paraId="266B52FA" w14:textId="10846BC1" w:rsidR="002B14A9" w:rsidRPr="00394093" w:rsidRDefault="002B14A9" w:rsidP="0073080D">
            <w:pPr>
              <w:jc w:val="center"/>
            </w:pPr>
            <w:r>
              <w:t>24</w:t>
            </w:r>
            <w:r w:rsidRPr="00394093">
              <w:t>/63 tỉn</w:t>
            </w:r>
            <w:r>
              <w:t>h</w:t>
            </w:r>
          </w:p>
        </w:tc>
        <w:tc>
          <w:tcPr>
            <w:tcW w:w="1980" w:type="dxa"/>
          </w:tcPr>
          <w:p w14:paraId="7E5AFF9B" w14:textId="0E7A1C87" w:rsidR="002B14A9" w:rsidRPr="00394093" w:rsidRDefault="002B14A9" w:rsidP="0073080D">
            <w:pPr>
              <w:jc w:val="center"/>
            </w:pPr>
            <w:r w:rsidRPr="00394093">
              <w:t>2</w:t>
            </w:r>
            <w:r w:rsidR="009D0776">
              <w:t>7</w:t>
            </w:r>
            <w:r w:rsidRPr="00394093">
              <w:t>/63 tỉn</w:t>
            </w:r>
            <w:r>
              <w:t>h</w:t>
            </w:r>
          </w:p>
        </w:tc>
        <w:tc>
          <w:tcPr>
            <w:tcW w:w="2070" w:type="dxa"/>
          </w:tcPr>
          <w:p w14:paraId="040CE5C2" w14:textId="1B49ED77" w:rsidR="002B14A9" w:rsidRPr="00394093" w:rsidRDefault="009D0776" w:rsidP="0073080D">
            <w:pPr>
              <w:jc w:val="center"/>
            </w:pPr>
            <w:r>
              <w:t>9</w:t>
            </w:r>
            <w:r w:rsidR="002B14A9" w:rsidRPr="00394093">
              <w:t>/63 tỉn</w:t>
            </w:r>
            <w:r w:rsidR="002B14A9">
              <w:t>h</w:t>
            </w:r>
          </w:p>
        </w:tc>
        <w:tc>
          <w:tcPr>
            <w:tcW w:w="1890" w:type="dxa"/>
          </w:tcPr>
          <w:p w14:paraId="7DD6EE1B" w14:textId="6B45059B" w:rsidR="002B14A9" w:rsidRPr="00394093" w:rsidRDefault="002B14A9" w:rsidP="0073080D">
            <w:pPr>
              <w:jc w:val="center"/>
            </w:pPr>
            <w:r>
              <w:t>3</w:t>
            </w:r>
            <w:r w:rsidRPr="00394093">
              <w:t>/63 tỉn</w:t>
            </w:r>
            <w:r>
              <w:t>h</w:t>
            </w:r>
          </w:p>
        </w:tc>
      </w:tr>
      <w:tr w:rsidR="002B14A9" w14:paraId="49D9F182" w14:textId="77777777" w:rsidTr="00923F69">
        <w:trPr>
          <w:jc w:val="center"/>
        </w:trPr>
        <w:tc>
          <w:tcPr>
            <w:tcW w:w="1255" w:type="dxa"/>
          </w:tcPr>
          <w:p w14:paraId="1EF178F9" w14:textId="7F2E1CE5" w:rsidR="002B14A9" w:rsidRDefault="002B14A9" w:rsidP="002B14A9">
            <w:pPr>
              <w:jc w:val="center"/>
            </w:pPr>
            <w:r>
              <w:t>2018</w:t>
            </w:r>
          </w:p>
        </w:tc>
        <w:tc>
          <w:tcPr>
            <w:tcW w:w="1710" w:type="dxa"/>
          </w:tcPr>
          <w:p w14:paraId="30BAA2FA" w14:textId="27178C9B" w:rsidR="002B14A9" w:rsidRPr="00394093" w:rsidRDefault="002B14A9" w:rsidP="002B14A9">
            <w:pPr>
              <w:jc w:val="center"/>
            </w:pPr>
            <w:r w:rsidRPr="00394093">
              <w:t>6/63 tỉn</w:t>
            </w:r>
            <w:r>
              <w:t>h</w:t>
            </w:r>
          </w:p>
        </w:tc>
        <w:tc>
          <w:tcPr>
            <w:tcW w:w="1980" w:type="dxa"/>
          </w:tcPr>
          <w:p w14:paraId="030B2558" w14:textId="4D79E342" w:rsidR="002B14A9" w:rsidRPr="00394093" w:rsidRDefault="002B14A9" w:rsidP="002B14A9">
            <w:pPr>
              <w:jc w:val="center"/>
            </w:pPr>
            <w:r w:rsidRPr="00394093">
              <w:t>27/63 tỉn</w:t>
            </w:r>
            <w:r>
              <w:t>h</w:t>
            </w:r>
          </w:p>
        </w:tc>
        <w:tc>
          <w:tcPr>
            <w:tcW w:w="2070" w:type="dxa"/>
          </w:tcPr>
          <w:p w14:paraId="5DA4503F" w14:textId="581049B8" w:rsidR="002B14A9" w:rsidRPr="00394093" w:rsidRDefault="002B14A9" w:rsidP="002B14A9">
            <w:pPr>
              <w:jc w:val="center"/>
            </w:pPr>
            <w:r w:rsidRPr="00394093">
              <w:t>21/63 tỉn</w:t>
            </w:r>
            <w:r>
              <w:t>h</w:t>
            </w:r>
          </w:p>
        </w:tc>
        <w:tc>
          <w:tcPr>
            <w:tcW w:w="1890" w:type="dxa"/>
          </w:tcPr>
          <w:p w14:paraId="03A77256" w14:textId="03E90385" w:rsidR="002B14A9" w:rsidRPr="00394093" w:rsidRDefault="002B14A9" w:rsidP="002B14A9">
            <w:pPr>
              <w:jc w:val="center"/>
            </w:pPr>
            <w:r w:rsidRPr="00394093">
              <w:t>9/63 tỉn</w:t>
            </w:r>
            <w:r>
              <w:t>h</w:t>
            </w:r>
          </w:p>
        </w:tc>
      </w:tr>
      <w:tr w:rsidR="002B14A9" w14:paraId="778E067E" w14:textId="77777777" w:rsidTr="00923F69">
        <w:trPr>
          <w:jc w:val="center"/>
        </w:trPr>
        <w:tc>
          <w:tcPr>
            <w:tcW w:w="1255" w:type="dxa"/>
          </w:tcPr>
          <w:p w14:paraId="0785C75C" w14:textId="77777777" w:rsidR="002B14A9" w:rsidRDefault="002B14A9" w:rsidP="002B14A9">
            <w:pPr>
              <w:jc w:val="center"/>
            </w:pPr>
            <w:r>
              <w:t>2017</w:t>
            </w:r>
          </w:p>
        </w:tc>
        <w:tc>
          <w:tcPr>
            <w:tcW w:w="1710" w:type="dxa"/>
          </w:tcPr>
          <w:p w14:paraId="323DB671" w14:textId="77777777" w:rsidR="002B14A9" w:rsidRDefault="002B14A9" w:rsidP="002B14A9">
            <w:pPr>
              <w:jc w:val="center"/>
            </w:pPr>
            <w:r>
              <w:t>0/63 tỉnh</w:t>
            </w:r>
          </w:p>
        </w:tc>
        <w:tc>
          <w:tcPr>
            <w:tcW w:w="1980" w:type="dxa"/>
          </w:tcPr>
          <w:p w14:paraId="048CD25D" w14:textId="77777777" w:rsidR="002B14A9" w:rsidRDefault="002B14A9" w:rsidP="002B14A9">
            <w:pPr>
              <w:jc w:val="center"/>
            </w:pPr>
            <w:r>
              <w:t>12/63 tỉnh</w:t>
            </w:r>
          </w:p>
        </w:tc>
        <w:tc>
          <w:tcPr>
            <w:tcW w:w="2070" w:type="dxa"/>
          </w:tcPr>
          <w:p w14:paraId="296EEDF0" w14:textId="77777777" w:rsidR="002B14A9" w:rsidRDefault="002B14A9" w:rsidP="002B14A9">
            <w:pPr>
              <w:jc w:val="center"/>
            </w:pPr>
            <w:r>
              <w:t>26/63 tỉnh</w:t>
            </w:r>
          </w:p>
        </w:tc>
        <w:tc>
          <w:tcPr>
            <w:tcW w:w="1890" w:type="dxa"/>
          </w:tcPr>
          <w:p w14:paraId="1FAAD3DA" w14:textId="77777777" w:rsidR="002B14A9" w:rsidRDefault="002B14A9" w:rsidP="002B14A9">
            <w:pPr>
              <w:jc w:val="center"/>
            </w:pPr>
            <w:r>
              <w:t>25/63 tỉnh</w:t>
            </w:r>
          </w:p>
        </w:tc>
      </w:tr>
    </w:tbl>
    <w:p w14:paraId="2F00F552" w14:textId="563E8B68" w:rsidR="002B14A9" w:rsidRPr="00175440" w:rsidRDefault="00175440" w:rsidP="00175440">
      <w:pPr>
        <w:pStyle w:val="FigureNotation"/>
        <w:rPr>
          <w:color w:val="auto"/>
        </w:rPr>
      </w:pPr>
      <w:r w:rsidRPr="00584C16">
        <w:rPr>
          <w:color w:val="auto"/>
        </w:rPr>
        <w:t>Nguồn: Kết quả khảo sát POBI 2017, 2018, 2019</w:t>
      </w:r>
    </w:p>
    <w:p w14:paraId="4646D1FC" w14:textId="5801D821" w:rsidR="00F94968" w:rsidRDefault="00895B5A">
      <w:pPr>
        <w:pStyle w:val="BodyText"/>
      </w:pPr>
      <w:r>
        <w:t>Trong Xếp hạng công khai ngân sách POBI 2019, có 24 tỉnh được xếp vào nhóm A- công khai ĐẦY ĐỦ, đứng đầu là: Quảng Nam (90.51 điểm), Bà Rịa - Vũng Tàu (90.39 điểm), và Đà Nẵng (89.95 điểm). Có 2</w:t>
      </w:r>
      <w:r w:rsidR="00312A72">
        <w:t>7</w:t>
      </w:r>
      <w:r>
        <w:t xml:space="preserve"> tỉnh công khai TƯƠNG ĐỐI, </w:t>
      </w:r>
      <w:r w:rsidR="00312A72">
        <w:t>9</w:t>
      </w:r>
      <w:r>
        <w:t xml:space="preserve"> tỉnh công khai CHƯA ĐẦY ĐỦ và 3 tỉnh ÍT công khai</w:t>
      </w:r>
      <w:r w:rsidR="00C51D58">
        <w:t xml:space="preserve"> là Hoà Bình, Đồng Tháp và Lạng Sơn (hình 2).</w:t>
      </w:r>
    </w:p>
    <w:p w14:paraId="25F2873E" w14:textId="29FF1E83" w:rsidR="00F94968" w:rsidRDefault="00895B5A">
      <w:pPr>
        <w:pStyle w:val="BodyText"/>
      </w:pPr>
      <w:r>
        <w:t xml:space="preserve">POBI 2019 cũng cho thấy sự khác biệt giữa mức độ công khai ngân sách tỉnh của các vùng. Vùng Duyên hải Nam Trung Bộ và vùng </w:t>
      </w:r>
      <w:r w:rsidR="00637E03">
        <w:t>Đông Nam bộ</w:t>
      </w:r>
      <w:r>
        <w:t xml:space="preserve"> là hai vùng có điểm xếp hạng POBI trung bình cao nhất, lần lượt là </w:t>
      </w:r>
      <w:r w:rsidR="00637E03" w:rsidRPr="00637E03">
        <w:t>77.16</w:t>
      </w:r>
      <w:r>
        <w:t xml:space="preserve"> và </w:t>
      </w:r>
      <w:r w:rsidR="00637E03" w:rsidRPr="00637E03">
        <w:t>7</w:t>
      </w:r>
      <w:r w:rsidR="00EC7A3F">
        <w:t>3</w:t>
      </w:r>
      <w:r w:rsidR="00637E03" w:rsidRPr="00637E03">
        <w:t>.8</w:t>
      </w:r>
      <w:r w:rsidR="00EC7A3F">
        <w:t>1</w:t>
      </w:r>
      <w:r w:rsidR="00637E03">
        <w:t xml:space="preserve"> điểm</w:t>
      </w:r>
      <w:r>
        <w:t xml:space="preserve">, tiếp theo đó là vùng </w:t>
      </w:r>
      <w:r w:rsidR="00637E03">
        <w:t>Tây Nguyên</w:t>
      </w:r>
      <w:r>
        <w:t xml:space="preserve"> (</w:t>
      </w:r>
      <w:r w:rsidR="00637E03">
        <w:t xml:space="preserve">70.27 </w:t>
      </w:r>
      <w:r>
        <w:t>điểm) và Đồng bằng sông Hồng (</w:t>
      </w:r>
      <w:r w:rsidR="00E33F7E">
        <w:t>68.24</w:t>
      </w:r>
      <w:r>
        <w:t xml:space="preserve"> điểm). Vùng Bắc Trung Bộ có số điểm trung bình thấp nhất trong 7 vùng địa lý, chỉ đạt </w:t>
      </w:r>
      <w:r w:rsidR="00DE6A8C">
        <w:t>52</w:t>
      </w:r>
      <w:r>
        <w:t>.</w:t>
      </w:r>
      <w:r w:rsidR="00DE6A8C">
        <w:t>62</w:t>
      </w:r>
      <w:r>
        <w:t xml:space="preserve"> điểm, tiếp đó là</w:t>
      </w:r>
      <w:r w:rsidR="00F34477">
        <w:t xml:space="preserve"> khu </w:t>
      </w:r>
      <w:r w:rsidR="00F34477">
        <w:lastRenderedPageBreak/>
        <w:t>vực</w:t>
      </w:r>
      <w:r>
        <w:t xml:space="preserve"> </w:t>
      </w:r>
      <w:r w:rsidR="00F34477">
        <w:t xml:space="preserve">Đồng bằng song Cửu Long </w:t>
      </w:r>
      <w:r>
        <w:t>(</w:t>
      </w:r>
      <w:r w:rsidR="00F34477">
        <w:t>58.7</w:t>
      </w:r>
      <w:r>
        <w:t xml:space="preserve"> điểm) và khu vực </w:t>
      </w:r>
      <w:r w:rsidR="00F34477">
        <w:t xml:space="preserve">Trung du và miền núi Bắc bộ </w:t>
      </w:r>
      <w:r>
        <w:t xml:space="preserve">với </w:t>
      </w:r>
      <w:r w:rsidR="00F34477">
        <w:t>63</w:t>
      </w:r>
      <w:r>
        <w:t>.</w:t>
      </w:r>
      <w:r w:rsidR="00F34477">
        <w:t>5</w:t>
      </w:r>
      <w:r>
        <w:t xml:space="preserve"> điểm (xem Hình 3).</w:t>
      </w:r>
    </w:p>
    <w:p w14:paraId="643B0F11" w14:textId="77777777" w:rsidR="00F94968" w:rsidRDefault="00895B5A" w:rsidP="00895B5A">
      <w:pPr>
        <w:pStyle w:val="Compact"/>
        <w:numPr>
          <w:ilvl w:val="0"/>
          <w:numId w:val="2"/>
        </w:numPr>
      </w:pPr>
      <w:r>
        <w:t>Bắc Giang đứng đầu trong vùng Trung du và miền núi Bắc bộ với 87 điểm</w:t>
      </w:r>
    </w:p>
    <w:p w14:paraId="48BDEC32" w14:textId="77777777" w:rsidR="00F94968" w:rsidRDefault="00895B5A" w:rsidP="00895B5A">
      <w:pPr>
        <w:pStyle w:val="Compact"/>
        <w:numPr>
          <w:ilvl w:val="0"/>
          <w:numId w:val="2"/>
        </w:numPr>
      </w:pPr>
      <w:r>
        <w:t>Hải Dương đứng đầu khu vực Đồng bằng sông Hồng với 88.14 điểm</w:t>
      </w:r>
    </w:p>
    <w:p w14:paraId="391B1F05" w14:textId="77777777" w:rsidR="00F94968" w:rsidRDefault="00895B5A" w:rsidP="00895B5A">
      <w:pPr>
        <w:pStyle w:val="Compact"/>
        <w:numPr>
          <w:ilvl w:val="0"/>
          <w:numId w:val="2"/>
        </w:numPr>
      </w:pPr>
      <w:r>
        <w:t>Quảng Trị tiếp tục đứng đầu khu vực Bắc Trung bộ với 83.98 điểm</w:t>
      </w:r>
    </w:p>
    <w:p w14:paraId="6081C906" w14:textId="77777777" w:rsidR="00F94968" w:rsidRDefault="00895B5A" w:rsidP="00895B5A">
      <w:pPr>
        <w:pStyle w:val="Compact"/>
        <w:numPr>
          <w:ilvl w:val="0"/>
          <w:numId w:val="2"/>
        </w:numPr>
      </w:pPr>
      <w:r>
        <w:t>Quảng Nam đứng đầu khu vực Duyên hải Nam Trung bộ và cũng là đứng đầu cả nước với 90.51 điểm</w:t>
      </w:r>
    </w:p>
    <w:p w14:paraId="6E09CC95" w14:textId="77777777" w:rsidR="00F94968" w:rsidRDefault="00895B5A" w:rsidP="00895B5A">
      <w:pPr>
        <w:pStyle w:val="Compact"/>
        <w:numPr>
          <w:ilvl w:val="0"/>
          <w:numId w:val="2"/>
        </w:numPr>
      </w:pPr>
      <w:r>
        <w:t>Lâm Đồng đứng đầu khu vực Tây Nguyên với 76.39 điểm</w:t>
      </w:r>
    </w:p>
    <w:p w14:paraId="08FA756E" w14:textId="77777777" w:rsidR="00F94968" w:rsidRDefault="00895B5A" w:rsidP="00895B5A">
      <w:pPr>
        <w:pStyle w:val="Compact"/>
        <w:numPr>
          <w:ilvl w:val="0"/>
          <w:numId w:val="2"/>
        </w:numPr>
      </w:pPr>
      <w:r>
        <w:t>Bà Rịa - Vũng Tàu tiếp tục đứng đầu khu vực Đông Nam bộ với 90.39 điểm</w:t>
      </w:r>
    </w:p>
    <w:p w14:paraId="0B77B5D6" w14:textId="77777777" w:rsidR="00F94968" w:rsidRDefault="00895B5A" w:rsidP="00895B5A">
      <w:pPr>
        <w:pStyle w:val="Compact"/>
        <w:numPr>
          <w:ilvl w:val="0"/>
          <w:numId w:val="2"/>
        </w:numPr>
      </w:pPr>
      <w:r>
        <w:t>Vĩnh Long tiếp tục đứng đầu khu vực Đồng bằng sông Cửu Long với 88.95 điểm</w:t>
      </w:r>
    </w:p>
    <w:p w14:paraId="0A87810D" w14:textId="3CAC996E" w:rsidR="00F94968" w:rsidRDefault="00895B5A">
      <w:pPr>
        <w:pStyle w:val="FirstParagraph"/>
      </w:pPr>
      <w:r>
        <w:t xml:space="preserve">Mức độ công khai Minh bạch ngân sách trong khảo sát POBI 2019 được xây dựng thông qua 5 tiêu chí chính là </w:t>
      </w:r>
      <w:r w:rsidRPr="00100FB8">
        <w:rPr>
          <w:b/>
          <w:i/>
        </w:rPr>
        <w:t>tính đầy đủ, kịp thời, sẵn có, thuận tiện và tính đáng tin cậy</w:t>
      </w:r>
      <w:r>
        <w:t xml:space="preserve"> của </w:t>
      </w:r>
      <w:r w:rsidR="000E00A1">
        <w:t>10</w:t>
      </w:r>
      <w:r>
        <w:t xml:space="preserve"> loại tài liệu </w:t>
      </w:r>
      <w:r w:rsidR="000E00A1">
        <w:t>khảo sát.</w:t>
      </w:r>
      <w:r>
        <w:t xml:space="preserve"> Kết quả khảo sát POBI 2018 theo 5 tiêu chí được tóm tắt như dưới đây:</w:t>
      </w:r>
    </w:p>
    <w:p w14:paraId="0B6E8CF1" w14:textId="77777777" w:rsidR="00F94968" w:rsidRDefault="00895B5A">
      <w:pPr>
        <w:pStyle w:val="Heading4"/>
      </w:pPr>
      <w:bookmarkStart w:id="5" w:name="tính-sẵn-có-của-các-tài-liệu-ngân-sách"/>
      <w:r>
        <w:t>Tính sẵn có của các tài liệu ngân sách</w:t>
      </w:r>
      <w:bookmarkEnd w:id="5"/>
    </w:p>
    <w:p w14:paraId="2B21BC63" w14:textId="6B7371E3" w:rsidR="00F94968" w:rsidRDefault="00895B5A">
      <w:pPr>
        <w:pStyle w:val="FirstParagraph"/>
      </w:pPr>
      <w:r>
        <w:t>Kết quả POBI 2019 cho thấy, các tỉnh công khai TƯƠNG ĐỐI ĐẦY ĐỦ các tài liệu ngân sách nhà nước theo như quy định của Luật NSNN năm 2015.</w:t>
      </w:r>
    </w:p>
    <w:p w14:paraId="399F6D3B" w14:textId="71AD9CF9" w:rsidR="002E6E0F" w:rsidRDefault="002E6E0F" w:rsidP="002E6E0F">
      <w:pPr>
        <w:pStyle w:val="Caption"/>
        <w:keepNext/>
      </w:pPr>
      <w:r>
        <w:t xml:space="preserve">Bảng </w:t>
      </w:r>
      <w:r w:rsidR="002E3AAA">
        <w:fldChar w:fldCharType="begin"/>
      </w:r>
      <w:r w:rsidR="002E3AAA">
        <w:instrText xml:space="preserve"> SEQ Bảng \* ARABIC </w:instrText>
      </w:r>
      <w:r w:rsidR="002E3AAA">
        <w:fldChar w:fldCharType="separate"/>
      </w:r>
      <w:r w:rsidR="0067281F">
        <w:rPr>
          <w:noProof/>
        </w:rPr>
        <w:t>1</w:t>
      </w:r>
      <w:r w:rsidR="002E3AAA">
        <w:rPr>
          <w:noProof/>
        </w:rPr>
        <w:fldChar w:fldCharType="end"/>
      </w:r>
      <w:r>
        <w:t xml:space="preserve">: </w:t>
      </w:r>
      <w:r w:rsidRPr="002C4252">
        <w:t>Số</w:t>
      </w:r>
      <w:r>
        <w:t xml:space="preserve"> lượng và </w:t>
      </w:r>
      <w:r w:rsidRPr="002C4252">
        <w:t>tỷ lệ</w:t>
      </w:r>
      <w:r>
        <w:t xml:space="preserve"> các</w:t>
      </w:r>
      <w:r w:rsidRPr="002C4252">
        <w:t xml:space="preserve"> tỉnh công khai các tài liệu ngân sách 2017-201</w:t>
      </w:r>
      <w:r w:rsidR="00A607E0">
        <w:t>9</w:t>
      </w:r>
    </w:p>
    <w:tbl>
      <w:tblPr>
        <w:tblW w:w="87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1710"/>
        <w:gridCol w:w="1620"/>
        <w:gridCol w:w="1620"/>
      </w:tblGrid>
      <w:tr w:rsidR="002E6E0F" w14:paraId="10F81CE4" w14:textId="1DA1CD79" w:rsidTr="003578B0">
        <w:trPr>
          <w:jc w:val="center"/>
        </w:trPr>
        <w:tc>
          <w:tcPr>
            <w:tcW w:w="3775" w:type="dxa"/>
            <w:shd w:val="clear" w:color="auto" w:fill="2F5496" w:themeFill="accent1" w:themeFillShade="BF"/>
          </w:tcPr>
          <w:p w14:paraId="57D3391E" w14:textId="77777777" w:rsidR="002E6E0F" w:rsidRPr="00B34DBB" w:rsidRDefault="002E6E0F" w:rsidP="0073080D">
            <w:pPr>
              <w:rPr>
                <w:b/>
                <w:color w:val="FFFFFF" w:themeColor="background1"/>
              </w:rPr>
            </w:pPr>
            <w:r w:rsidRPr="00B34DBB">
              <w:rPr>
                <w:b/>
                <w:color w:val="FFFFFF" w:themeColor="background1"/>
              </w:rPr>
              <w:t>Tài liệ</w:t>
            </w:r>
            <w:r>
              <w:rPr>
                <w:b/>
                <w:color w:val="FFFFFF" w:themeColor="background1"/>
              </w:rPr>
              <w:t>u</w:t>
            </w:r>
          </w:p>
        </w:tc>
        <w:tc>
          <w:tcPr>
            <w:tcW w:w="1710" w:type="dxa"/>
            <w:shd w:val="clear" w:color="auto" w:fill="2F5496" w:themeFill="accent1" w:themeFillShade="BF"/>
          </w:tcPr>
          <w:p w14:paraId="5D431E72" w14:textId="77777777" w:rsidR="002E6E0F" w:rsidRPr="002E6E0F" w:rsidRDefault="002E6E0F" w:rsidP="002E6E0F">
            <w:pPr>
              <w:jc w:val="right"/>
              <w:rPr>
                <w:b/>
                <w:color w:val="FFFFFF" w:themeColor="background1"/>
              </w:rPr>
            </w:pPr>
            <w:r w:rsidRPr="002E6E0F">
              <w:rPr>
                <w:b/>
                <w:color w:val="FFFFFF" w:themeColor="background1"/>
              </w:rPr>
              <w:t>POBI 201</w:t>
            </w:r>
            <w:r w:rsidRPr="002E6E0F">
              <w:rPr>
                <w:b/>
                <w:bCs/>
                <w:color w:val="FFFFFF" w:themeColor="background1"/>
              </w:rPr>
              <w:t>7</w:t>
            </w:r>
          </w:p>
        </w:tc>
        <w:tc>
          <w:tcPr>
            <w:tcW w:w="1620" w:type="dxa"/>
            <w:shd w:val="clear" w:color="auto" w:fill="2F5496" w:themeFill="accent1" w:themeFillShade="BF"/>
          </w:tcPr>
          <w:p w14:paraId="72F3E07D" w14:textId="77777777" w:rsidR="002E6E0F" w:rsidRPr="002E6E0F" w:rsidRDefault="002E6E0F" w:rsidP="002E6E0F">
            <w:pPr>
              <w:jc w:val="right"/>
              <w:rPr>
                <w:b/>
                <w:color w:val="FFFFFF" w:themeColor="background1"/>
              </w:rPr>
            </w:pPr>
            <w:r w:rsidRPr="002E6E0F">
              <w:rPr>
                <w:b/>
                <w:color w:val="FFFFFF" w:themeColor="background1"/>
              </w:rPr>
              <w:t>POBI 201</w:t>
            </w:r>
            <w:r w:rsidRPr="002E6E0F">
              <w:rPr>
                <w:b/>
                <w:bCs/>
                <w:color w:val="FFFFFF" w:themeColor="background1"/>
              </w:rPr>
              <w:t>8</w:t>
            </w:r>
          </w:p>
        </w:tc>
        <w:tc>
          <w:tcPr>
            <w:tcW w:w="1620" w:type="dxa"/>
            <w:shd w:val="clear" w:color="auto" w:fill="2F5496" w:themeFill="accent1" w:themeFillShade="BF"/>
          </w:tcPr>
          <w:p w14:paraId="63546702" w14:textId="2789906C" w:rsidR="002E6E0F" w:rsidRPr="002E6E0F" w:rsidRDefault="002E6E0F" w:rsidP="002E6E0F">
            <w:pPr>
              <w:jc w:val="right"/>
              <w:rPr>
                <w:b/>
                <w:color w:val="FFFFFF" w:themeColor="background1"/>
              </w:rPr>
            </w:pPr>
            <w:r w:rsidRPr="002E6E0F">
              <w:rPr>
                <w:b/>
                <w:color w:val="FFFFFF" w:themeColor="background1"/>
              </w:rPr>
              <w:t>POBI 2019</w:t>
            </w:r>
          </w:p>
        </w:tc>
      </w:tr>
      <w:tr w:rsidR="00EB617C" w14:paraId="38CD5226" w14:textId="38009F94" w:rsidTr="003578B0">
        <w:trPr>
          <w:jc w:val="center"/>
        </w:trPr>
        <w:tc>
          <w:tcPr>
            <w:tcW w:w="3775" w:type="dxa"/>
          </w:tcPr>
          <w:p w14:paraId="19790583" w14:textId="77777777" w:rsidR="00EB617C" w:rsidRDefault="00EB617C" w:rsidP="00EB617C">
            <w:r>
              <w:t xml:space="preserve">Dự thảo Dự toán ngân sách tỉnh năm trình HĐND tỉnh </w:t>
            </w:r>
          </w:p>
        </w:tc>
        <w:tc>
          <w:tcPr>
            <w:tcW w:w="1710" w:type="dxa"/>
          </w:tcPr>
          <w:p w14:paraId="52D52C49" w14:textId="3889ED64" w:rsidR="00EB617C" w:rsidRPr="002E6E0F" w:rsidRDefault="00EB617C" w:rsidP="00EB617C">
            <w:pPr>
              <w:jc w:val="right"/>
            </w:pPr>
            <w:r w:rsidRPr="0093543C">
              <w:t>27 (42.86%)</w:t>
            </w:r>
          </w:p>
        </w:tc>
        <w:tc>
          <w:tcPr>
            <w:tcW w:w="1620" w:type="dxa"/>
          </w:tcPr>
          <w:p w14:paraId="5710C11D" w14:textId="210FD81B" w:rsidR="00EB617C" w:rsidRPr="002E6E0F" w:rsidRDefault="00EB617C" w:rsidP="00EB617C">
            <w:pPr>
              <w:jc w:val="right"/>
            </w:pPr>
            <w:r w:rsidRPr="0093543C">
              <w:t>47 (74.6%)</w:t>
            </w:r>
          </w:p>
        </w:tc>
        <w:tc>
          <w:tcPr>
            <w:tcW w:w="1620" w:type="dxa"/>
          </w:tcPr>
          <w:p w14:paraId="0AF6C12B" w14:textId="7B3E28C1" w:rsidR="00EB617C" w:rsidRPr="002E6E0F" w:rsidRDefault="00EB617C" w:rsidP="00EB617C">
            <w:pPr>
              <w:jc w:val="right"/>
            </w:pPr>
            <w:r w:rsidRPr="0004560A">
              <w:t>54 (85.71 %)</w:t>
            </w:r>
          </w:p>
        </w:tc>
      </w:tr>
      <w:tr w:rsidR="00EB617C" w14:paraId="2C20DCBA" w14:textId="375D3E47" w:rsidTr="003578B0">
        <w:trPr>
          <w:jc w:val="center"/>
        </w:trPr>
        <w:tc>
          <w:tcPr>
            <w:tcW w:w="3775" w:type="dxa"/>
          </w:tcPr>
          <w:p w14:paraId="37D542C3" w14:textId="77777777" w:rsidR="00EB617C" w:rsidRDefault="00EB617C" w:rsidP="00EB617C">
            <w:r>
              <w:t>Dự toán ngân sách tỉnh năm đã được HĐND tỉnh quyết định</w:t>
            </w:r>
          </w:p>
        </w:tc>
        <w:tc>
          <w:tcPr>
            <w:tcW w:w="1710" w:type="dxa"/>
          </w:tcPr>
          <w:p w14:paraId="0B6F0D35" w14:textId="25190ADE" w:rsidR="00EB617C" w:rsidRPr="002E6E0F" w:rsidRDefault="00EB617C" w:rsidP="00EB617C">
            <w:pPr>
              <w:jc w:val="right"/>
            </w:pPr>
            <w:r w:rsidRPr="0093543C">
              <w:t>51 (80.95%)</w:t>
            </w:r>
          </w:p>
        </w:tc>
        <w:tc>
          <w:tcPr>
            <w:tcW w:w="1620" w:type="dxa"/>
          </w:tcPr>
          <w:p w14:paraId="3E5A5FFA" w14:textId="62433C6A" w:rsidR="00EB617C" w:rsidRPr="002E6E0F" w:rsidRDefault="00EB617C" w:rsidP="00EB617C">
            <w:pPr>
              <w:jc w:val="right"/>
            </w:pPr>
            <w:r w:rsidRPr="0093543C">
              <w:t>59 (93.65%)</w:t>
            </w:r>
          </w:p>
        </w:tc>
        <w:tc>
          <w:tcPr>
            <w:tcW w:w="1620" w:type="dxa"/>
          </w:tcPr>
          <w:p w14:paraId="0F2AF15A" w14:textId="31BC98A8" w:rsidR="00EB617C" w:rsidRPr="002E6E0F" w:rsidRDefault="00EB617C" w:rsidP="00EB617C">
            <w:pPr>
              <w:jc w:val="right"/>
            </w:pPr>
            <w:r w:rsidRPr="0004560A">
              <w:t>58 (92.06 %)</w:t>
            </w:r>
          </w:p>
        </w:tc>
      </w:tr>
      <w:tr w:rsidR="00EB617C" w14:paraId="1FEFE652" w14:textId="7D79CF13" w:rsidTr="003578B0">
        <w:trPr>
          <w:jc w:val="center"/>
        </w:trPr>
        <w:tc>
          <w:tcPr>
            <w:tcW w:w="3775" w:type="dxa"/>
          </w:tcPr>
          <w:p w14:paraId="03C09C6C" w14:textId="77777777" w:rsidR="00EB617C" w:rsidRDefault="00EB617C" w:rsidP="00EB617C">
            <w:r>
              <w:t>Báo cáo Tình hình thực hiện ngân sách tỉnh Quý 1</w:t>
            </w:r>
          </w:p>
        </w:tc>
        <w:tc>
          <w:tcPr>
            <w:tcW w:w="1710" w:type="dxa"/>
          </w:tcPr>
          <w:p w14:paraId="0F3D8E57" w14:textId="392A88D7" w:rsidR="00EB617C" w:rsidRPr="002E6E0F" w:rsidRDefault="00EB617C" w:rsidP="00EB617C">
            <w:pPr>
              <w:jc w:val="right"/>
            </w:pPr>
            <w:r w:rsidRPr="0093543C">
              <w:t>Không áp dụng</w:t>
            </w:r>
          </w:p>
        </w:tc>
        <w:tc>
          <w:tcPr>
            <w:tcW w:w="1620" w:type="dxa"/>
          </w:tcPr>
          <w:p w14:paraId="478A4E6F" w14:textId="326750CF" w:rsidR="00EB617C" w:rsidRPr="002E6E0F" w:rsidRDefault="00EB617C" w:rsidP="00EB617C">
            <w:pPr>
              <w:jc w:val="right"/>
            </w:pPr>
            <w:r w:rsidRPr="0093543C">
              <w:t>46 (73.02%)</w:t>
            </w:r>
          </w:p>
        </w:tc>
        <w:tc>
          <w:tcPr>
            <w:tcW w:w="1620" w:type="dxa"/>
          </w:tcPr>
          <w:p w14:paraId="450A13BF" w14:textId="4CAF73E2" w:rsidR="00EB617C" w:rsidRPr="002E6E0F" w:rsidRDefault="00EB617C" w:rsidP="00EB617C">
            <w:pPr>
              <w:jc w:val="right"/>
            </w:pPr>
            <w:r w:rsidRPr="0004560A">
              <w:t>58 (92.06 %)</w:t>
            </w:r>
          </w:p>
        </w:tc>
      </w:tr>
      <w:tr w:rsidR="00EB617C" w14:paraId="71F01752" w14:textId="2EA46C5E" w:rsidTr="003578B0">
        <w:trPr>
          <w:jc w:val="center"/>
        </w:trPr>
        <w:tc>
          <w:tcPr>
            <w:tcW w:w="3775" w:type="dxa"/>
          </w:tcPr>
          <w:p w14:paraId="5163A424" w14:textId="77777777" w:rsidR="00EB617C" w:rsidRDefault="00EB617C" w:rsidP="00EB617C">
            <w:r>
              <w:t>Báo cáo Tình hình thực hiện ngân sách tỉnh Quý 2</w:t>
            </w:r>
          </w:p>
        </w:tc>
        <w:tc>
          <w:tcPr>
            <w:tcW w:w="1710" w:type="dxa"/>
          </w:tcPr>
          <w:p w14:paraId="769CD670" w14:textId="15823704" w:rsidR="00EB617C" w:rsidRPr="002E6E0F" w:rsidRDefault="00EB617C" w:rsidP="00EB617C">
            <w:pPr>
              <w:jc w:val="right"/>
            </w:pPr>
            <w:r w:rsidRPr="0093543C">
              <w:t>Không áp dụn</w:t>
            </w:r>
            <w:r>
              <w:t>g</w:t>
            </w:r>
          </w:p>
        </w:tc>
        <w:tc>
          <w:tcPr>
            <w:tcW w:w="1620" w:type="dxa"/>
          </w:tcPr>
          <w:p w14:paraId="79DB6CF6" w14:textId="7398FFD0" w:rsidR="00EB617C" w:rsidRPr="002E6E0F" w:rsidRDefault="00EB617C" w:rsidP="00EB617C">
            <w:pPr>
              <w:jc w:val="right"/>
            </w:pPr>
            <w:r w:rsidRPr="0093543C">
              <w:t>53 (84.13%)</w:t>
            </w:r>
          </w:p>
        </w:tc>
        <w:tc>
          <w:tcPr>
            <w:tcW w:w="1620" w:type="dxa"/>
          </w:tcPr>
          <w:p w14:paraId="74DE0DCA" w14:textId="769102FC" w:rsidR="00EB617C" w:rsidRPr="002E6E0F" w:rsidRDefault="00EB617C" w:rsidP="00EB617C">
            <w:pPr>
              <w:jc w:val="right"/>
            </w:pPr>
            <w:r w:rsidRPr="0004560A">
              <w:t>58 (92.06 %)</w:t>
            </w:r>
          </w:p>
        </w:tc>
      </w:tr>
      <w:tr w:rsidR="00EB617C" w14:paraId="159C69EB" w14:textId="05C3EEB4" w:rsidTr="003578B0">
        <w:trPr>
          <w:jc w:val="center"/>
        </w:trPr>
        <w:tc>
          <w:tcPr>
            <w:tcW w:w="3775" w:type="dxa"/>
          </w:tcPr>
          <w:p w14:paraId="22BB8BAB" w14:textId="77777777" w:rsidR="00EB617C" w:rsidRDefault="00EB617C" w:rsidP="00EB617C">
            <w:r>
              <w:lastRenderedPageBreak/>
              <w:t>Báo cáo Tình hình thực hiện ngân sách tỉnh Quý 3</w:t>
            </w:r>
          </w:p>
        </w:tc>
        <w:tc>
          <w:tcPr>
            <w:tcW w:w="1710" w:type="dxa"/>
          </w:tcPr>
          <w:p w14:paraId="0FE9E1BC" w14:textId="667DE10D" w:rsidR="00EB617C" w:rsidRPr="002E6E0F" w:rsidRDefault="00EB617C" w:rsidP="00EB617C">
            <w:pPr>
              <w:jc w:val="right"/>
            </w:pPr>
            <w:r w:rsidRPr="0093543C">
              <w:t>28 (44.44%)</w:t>
            </w:r>
          </w:p>
        </w:tc>
        <w:tc>
          <w:tcPr>
            <w:tcW w:w="1620" w:type="dxa"/>
          </w:tcPr>
          <w:p w14:paraId="1A85AF22" w14:textId="693025CF" w:rsidR="00EB617C" w:rsidRPr="002E6E0F" w:rsidRDefault="00EB617C" w:rsidP="00EB617C">
            <w:pPr>
              <w:jc w:val="right"/>
            </w:pPr>
            <w:r w:rsidRPr="0093543C">
              <w:t>46 (73.02%)</w:t>
            </w:r>
          </w:p>
        </w:tc>
        <w:tc>
          <w:tcPr>
            <w:tcW w:w="1620" w:type="dxa"/>
          </w:tcPr>
          <w:p w14:paraId="48A92DA8" w14:textId="28F841FA" w:rsidR="00EB617C" w:rsidRPr="002E6E0F" w:rsidRDefault="00EB617C" w:rsidP="00EB617C">
            <w:pPr>
              <w:jc w:val="right"/>
            </w:pPr>
            <w:r w:rsidRPr="0004560A">
              <w:t>55 (87.3 %)</w:t>
            </w:r>
          </w:p>
        </w:tc>
      </w:tr>
      <w:tr w:rsidR="00EB617C" w14:paraId="28A18864" w14:textId="1D495DB3" w:rsidTr="003578B0">
        <w:trPr>
          <w:jc w:val="center"/>
        </w:trPr>
        <w:tc>
          <w:tcPr>
            <w:tcW w:w="3775" w:type="dxa"/>
          </w:tcPr>
          <w:p w14:paraId="2C98298C" w14:textId="77777777" w:rsidR="00EB617C" w:rsidRDefault="00EB617C" w:rsidP="00EB617C">
            <w:r>
              <w:t>Báo cáo Tình hình thực hiện ngân sách tỉnh năm</w:t>
            </w:r>
          </w:p>
        </w:tc>
        <w:tc>
          <w:tcPr>
            <w:tcW w:w="1710" w:type="dxa"/>
          </w:tcPr>
          <w:p w14:paraId="647EBD25" w14:textId="603E8393" w:rsidR="00EB617C" w:rsidRPr="002E6E0F" w:rsidRDefault="00EB617C" w:rsidP="00EB617C">
            <w:pPr>
              <w:jc w:val="right"/>
            </w:pPr>
            <w:r w:rsidRPr="0093543C">
              <w:t>25 (39.68%)</w:t>
            </w:r>
          </w:p>
        </w:tc>
        <w:tc>
          <w:tcPr>
            <w:tcW w:w="1620" w:type="dxa"/>
          </w:tcPr>
          <w:p w14:paraId="6D2B13BF" w14:textId="19BCEB25" w:rsidR="00EB617C" w:rsidRPr="002E6E0F" w:rsidRDefault="00EB617C" w:rsidP="00EB617C">
            <w:pPr>
              <w:jc w:val="right"/>
            </w:pPr>
            <w:r w:rsidRPr="0093543C">
              <w:t>35 (55.56%)</w:t>
            </w:r>
          </w:p>
        </w:tc>
        <w:tc>
          <w:tcPr>
            <w:tcW w:w="1620" w:type="dxa"/>
          </w:tcPr>
          <w:p w14:paraId="229C6370" w14:textId="641BB640" w:rsidR="00EB617C" w:rsidRPr="002E6E0F" w:rsidRDefault="00EB617C" w:rsidP="00EB617C">
            <w:pPr>
              <w:jc w:val="right"/>
            </w:pPr>
            <w:r w:rsidRPr="0004560A">
              <w:t>53 (84.13 %)</w:t>
            </w:r>
          </w:p>
        </w:tc>
      </w:tr>
      <w:tr w:rsidR="00EB617C" w14:paraId="321A7209" w14:textId="649F7722" w:rsidTr="003578B0">
        <w:trPr>
          <w:jc w:val="center"/>
        </w:trPr>
        <w:tc>
          <w:tcPr>
            <w:tcW w:w="3775" w:type="dxa"/>
          </w:tcPr>
          <w:p w14:paraId="57FA1D7F" w14:textId="77777777" w:rsidR="00EB617C" w:rsidRDefault="00EB617C" w:rsidP="00EB617C">
            <w:r>
              <w:t>Báo cáo quyết toán ngân sách tỉnh</w:t>
            </w:r>
          </w:p>
        </w:tc>
        <w:tc>
          <w:tcPr>
            <w:tcW w:w="1710" w:type="dxa"/>
          </w:tcPr>
          <w:p w14:paraId="314A81AE" w14:textId="7BBAD998" w:rsidR="00EB617C" w:rsidRPr="002E6E0F" w:rsidRDefault="00EB617C" w:rsidP="00EB617C">
            <w:pPr>
              <w:jc w:val="right"/>
            </w:pPr>
            <w:r w:rsidRPr="0093543C">
              <w:t>49 (77.78%)</w:t>
            </w:r>
          </w:p>
        </w:tc>
        <w:tc>
          <w:tcPr>
            <w:tcW w:w="1620" w:type="dxa"/>
          </w:tcPr>
          <w:p w14:paraId="125DC34F" w14:textId="42091597" w:rsidR="00EB617C" w:rsidRPr="002E6E0F" w:rsidRDefault="00EB617C" w:rsidP="00EB617C">
            <w:pPr>
              <w:jc w:val="right"/>
            </w:pPr>
            <w:r w:rsidRPr="0093543C">
              <w:t>54 (85.71%)</w:t>
            </w:r>
          </w:p>
        </w:tc>
        <w:tc>
          <w:tcPr>
            <w:tcW w:w="1620" w:type="dxa"/>
          </w:tcPr>
          <w:p w14:paraId="54AA3D13" w14:textId="208D51FC" w:rsidR="00EB617C" w:rsidRPr="002E6E0F" w:rsidRDefault="00EB617C" w:rsidP="00EB617C">
            <w:pPr>
              <w:jc w:val="right"/>
            </w:pPr>
            <w:r w:rsidRPr="0004560A">
              <w:t>57 (90.48 %)</w:t>
            </w:r>
          </w:p>
        </w:tc>
      </w:tr>
      <w:tr w:rsidR="00EB617C" w14:paraId="6C740988" w14:textId="21F5E70F" w:rsidTr="003578B0">
        <w:trPr>
          <w:jc w:val="center"/>
        </w:trPr>
        <w:tc>
          <w:tcPr>
            <w:tcW w:w="3775" w:type="dxa"/>
          </w:tcPr>
          <w:p w14:paraId="3B958FEC" w14:textId="77777777" w:rsidR="00EB617C" w:rsidRPr="00394093" w:rsidRDefault="00EB617C" w:rsidP="00EB617C">
            <w:r w:rsidRPr="00394093">
              <w:t>Báo cáo ngân sách nhà nước dành cho công dâ</w:t>
            </w:r>
            <w:r>
              <w:t>n</w:t>
            </w:r>
          </w:p>
        </w:tc>
        <w:tc>
          <w:tcPr>
            <w:tcW w:w="1710" w:type="dxa"/>
          </w:tcPr>
          <w:p w14:paraId="73BF239A" w14:textId="3F8548FA" w:rsidR="00EB617C" w:rsidRPr="002E6E0F" w:rsidRDefault="00EB617C" w:rsidP="00EB617C">
            <w:pPr>
              <w:jc w:val="right"/>
            </w:pPr>
            <w:r w:rsidRPr="0093543C">
              <w:t>Không áp dụng</w:t>
            </w:r>
          </w:p>
        </w:tc>
        <w:tc>
          <w:tcPr>
            <w:tcW w:w="1620" w:type="dxa"/>
          </w:tcPr>
          <w:p w14:paraId="06C5C71B" w14:textId="6471B6A8" w:rsidR="00EB617C" w:rsidRPr="002E6E0F" w:rsidRDefault="00EB617C" w:rsidP="00EB617C">
            <w:pPr>
              <w:jc w:val="right"/>
            </w:pPr>
            <w:r w:rsidRPr="0093543C">
              <w:t>1 (1.59%)</w:t>
            </w:r>
          </w:p>
        </w:tc>
        <w:tc>
          <w:tcPr>
            <w:tcW w:w="1620" w:type="dxa"/>
          </w:tcPr>
          <w:p w14:paraId="71ADE62A" w14:textId="516636F5" w:rsidR="00EB617C" w:rsidRPr="002E6E0F" w:rsidRDefault="00EB617C" w:rsidP="00EB617C">
            <w:pPr>
              <w:jc w:val="right"/>
            </w:pPr>
            <w:r w:rsidRPr="0004560A">
              <w:t>14 (22.22 %)</w:t>
            </w:r>
          </w:p>
        </w:tc>
      </w:tr>
      <w:tr w:rsidR="00EB617C" w14:paraId="5E8BA9C1" w14:textId="3763D08B" w:rsidTr="003578B0">
        <w:trPr>
          <w:jc w:val="center"/>
        </w:trPr>
        <w:tc>
          <w:tcPr>
            <w:tcW w:w="3775" w:type="dxa"/>
          </w:tcPr>
          <w:p w14:paraId="3A9EA57C" w14:textId="79896FA0" w:rsidR="00EB617C" w:rsidRPr="00394093" w:rsidRDefault="00EB617C" w:rsidP="00EB617C">
            <w:r>
              <w:t>Danh mục dự án đầu tư công</w:t>
            </w:r>
          </w:p>
        </w:tc>
        <w:tc>
          <w:tcPr>
            <w:tcW w:w="1710" w:type="dxa"/>
          </w:tcPr>
          <w:p w14:paraId="733F6248" w14:textId="774D8552" w:rsidR="00EB617C" w:rsidRPr="002E6E0F" w:rsidRDefault="00EB617C" w:rsidP="00EB617C">
            <w:pPr>
              <w:jc w:val="right"/>
            </w:pPr>
            <w:r w:rsidRPr="0093543C">
              <w:t>Không áp dụng</w:t>
            </w:r>
          </w:p>
        </w:tc>
        <w:tc>
          <w:tcPr>
            <w:tcW w:w="1620" w:type="dxa"/>
          </w:tcPr>
          <w:p w14:paraId="61AA54FF" w14:textId="007CF960" w:rsidR="00EB617C" w:rsidRPr="002E6E0F" w:rsidRDefault="00EB617C" w:rsidP="00EB617C">
            <w:pPr>
              <w:jc w:val="right"/>
            </w:pPr>
            <w:r w:rsidRPr="0093543C">
              <w:t>46 (73.02%)</w:t>
            </w:r>
          </w:p>
        </w:tc>
        <w:tc>
          <w:tcPr>
            <w:tcW w:w="1620" w:type="dxa"/>
          </w:tcPr>
          <w:p w14:paraId="0B4444EF" w14:textId="00FA82A7" w:rsidR="00EB617C" w:rsidRPr="002E6E0F" w:rsidRDefault="00EB617C" w:rsidP="00EB617C">
            <w:pPr>
              <w:jc w:val="right"/>
            </w:pPr>
            <w:r w:rsidRPr="0004560A">
              <w:t>50 (79.37 %)</w:t>
            </w:r>
          </w:p>
        </w:tc>
      </w:tr>
      <w:tr w:rsidR="00EB617C" w14:paraId="362B503F" w14:textId="77777777" w:rsidTr="003578B0">
        <w:trPr>
          <w:jc w:val="center"/>
        </w:trPr>
        <w:tc>
          <w:tcPr>
            <w:tcW w:w="3775" w:type="dxa"/>
          </w:tcPr>
          <w:p w14:paraId="5599352B" w14:textId="5AA4F082" w:rsidR="00EB617C" w:rsidRPr="00394093" w:rsidRDefault="00EB617C" w:rsidP="00EB617C">
            <w:r>
              <w:t>Báo cáo tình hình nợ công của tỉnh</w:t>
            </w:r>
          </w:p>
        </w:tc>
        <w:tc>
          <w:tcPr>
            <w:tcW w:w="1710" w:type="dxa"/>
          </w:tcPr>
          <w:p w14:paraId="719988F0" w14:textId="74008735" w:rsidR="00EB617C" w:rsidRPr="002E6E0F" w:rsidRDefault="00EB617C" w:rsidP="00EB617C">
            <w:pPr>
              <w:jc w:val="right"/>
            </w:pPr>
            <w:r w:rsidRPr="0093543C">
              <w:t>Không áp dụng</w:t>
            </w:r>
          </w:p>
        </w:tc>
        <w:tc>
          <w:tcPr>
            <w:tcW w:w="1620" w:type="dxa"/>
          </w:tcPr>
          <w:p w14:paraId="2A27429E" w14:textId="534FF629" w:rsidR="00EB617C" w:rsidRPr="002E6E0F" w:rsidRDefault="00EB617C" w:rsidP="00EB617C">
            <w:pPr>
              <w:jc w:val="right"/>
            </w:pPr>
            <w:r w:rsidRPr="0093543C">
              <w:t>Không áp dụng</w:t>
            </w:r>
          </w:p>
        </w:tc>
        <w:tc>
          <w:tcPr>
            <w:tcW w:w="1620" w:type="dxa"/>
          </w:tcPr>
          <w:p w14:paraId="3F3382BD" w14:textId="468E5B4B" w:rsidR="00EB617C" w:rsidRPr="002E6E0F" w:rsidRDefault="00EB617C" w:rsidP="00EB617C">
            <w:pPr>
              <w:jc w:val="right"/>
            </w:pPr>
            <w:r w:rsidRPr="0004560A">
              <w:t>31 (49.21 %)</w:t>
            </w:r>
          </w:p>
        </w:tc>
      </w:tr>
    </w:tbl>
    <w:p w14:paraId="46E4EFE0" w14:textId="5FD16BED" w:rsidR="002E6E0F" w:rsidRPr="00365CD2" w:rsidRDefault="00365CD2" w:rsidP="00365CD2">
      <w:pPr>
        <w:pStyle w:val="FigureNotation"/>
        <w:rPr>
          <w:color w:val="auto"/>
        </w:rPr>
      </w:pPr>
      <w:r w:rsidRPr="00584C16">
        <w:rPr>
          <w:color w:val="auto"/>
        </w:rPr>
        <w:t>Nguồn: Kết quả khảo sát POBI 2017, 2018, 2019</w:t>
      </w:r>
    </w:p>
    <w:p w14:paraId="5B89863E" w14:textId="29B39463" w:rsidR="008A0F3C" w:rsidRDefault="00895B5A" w:rsidP="00D1741D">
      <w:r>
        <w:t xml:space="preserve">Bảng 1 cho thấy </w:t>
      </w:r>
      <w:r w:rsidR="00C51D58">
        <w:t>m</w:t>
      </w:r>
      <w:r>
        <w:t>ức độ sẵn có của các tài liệu ngân sách của POBI 201</w:t>
      </w:r>
      <w:r w:rsidR="008F7B7D">
        <w:t>9</w:t>
      </w:r>
      <w:r>
        <w:t xml:space="preserve"> đã được cải thiện </w:t>
      </w:r>
      <w:r w:rsidR="008F7B7D">
        <w:t>qua ba kỳ đánh giá.</w:t>
      </w:r>
      <w:r>
        <w:t xml:space="preserve"> Số lượng các các tài liệu ngân sách được các tỉnh công khai </w:t>
      </w:r>
      <w:r w:rsidR="008F7B7D">
        <w:t>trong khảo sát POBI2019 đầy đủ hơn so với năm 2018 và 2017.</w:t>
      </w:r>
      <w:r>
        <w:t xml:space="preserve"> Dự thảo dự toán trình HĐND tỉnh là tài liệu có sự thay đổi lớn nhất giữa POBI 2018 và POBI 2019. Năm 2019, có </w:t>
      </w:r>
      <w:r w:rsidR="00D1741D" w:rsidRPr="0004560A">
        <w:t>54 (85.71 %)</w:t>
      </w:r>
      <w:r w:rsidR="00D1741D">
        <w:t xml:space="preserve"> </w:t>
      </w:r>
      <w:r w:rsidR="00C36A68">
        <w:t xml:space="preserve">tỉnh </w:t>
      </w:r>
      <w:r>
        <w:t>có công khai Dự thảo dự toán ngân sách tỉnh trình HĐND tỉnh so với 46 tỉnh (73%) trong POBI 2018 và 27 tỉnh (42.9%) trong POBI 2017.</w:t>
      </w:r>
    </w:p>
    <w:p w14:paraId="4844FCB4" w14:textId="79234561" w:rsidR="00F94968" w:rsidRDefault="008A0F3C">
      <w:pPr>
        <w:pStyle w:val="BodyText"/>
      </w:pPr>
      <w:r>
        <w:t>Báo cáo ngân sách nhà nước dành cho công dân không bắt buộc công khai theo như Luật NSNN 2015,</w:t>
      </w:r>
      <w:r w:rsidR="00553060">
        <w:t xml:space="preserve"> nhưng có 14 tỉnh có xây dựng và công khai tài liệu này (tăng thêm 13 tỉnh so với khảo sát POBI</w:t>
      </w:r>
      <w:r w:rsidR="00726FBC">
        <w:t xml:space="preserve"> </w:t>
      </w:r>
      <w:r w:rsidR="00553060">
        <w:t>2018). Các tỉnh có công bố báo cáo ngân sách công dân trong khảo sát POBI</w:t>
      </w:r>
      <w:r w:rsidR="00726FBC">
        <w:t xml:space="preserve"> </w:t>
      </w:r>
      <w:r w:rsidR="00553060">
        <w:t>2019, bao gồm Vĩnh Phúc, Vĩnh Long, Thanh Hóa, Tây Ninh, Quảng Trị, Quảng Ninh, Quảng Nam, Hải Phòng, Hải Dương, Hà Giang, Đà Nẵng, Bình Dương, Hà Nội, và Bà Rịa - Vũng Tàu</w:t>
      </w:r>
      <w:r w:rsidR="006C1AC7">
        <w:t xml:space="preserve">. </w:t>
      </w:r>
      <w:r w:rsidR="00553060">
        <w:t>Điều này cho thấy, các tỉnh hoàn toàn có khả năng công khai thông tin về ngân sách theo như quy định của Việt Nam và thông lệ tốt của quốc tế.</w:t>
      </w:r>
      <w:r w:rsidR="00895B5A">
        <w:t xml:space="preserve"> </w:t>
      </w:r>
    </w:p>
    <w:p w14:paraId="199F5DF5" w14:textId="77777777" w:rsidR="00F94968" w:rsidRDefault="00895B5A">
      <w:pPr>
        <w:pStyle w:val="Heading4"/>
      </w:pPr>
      <w:bookmarkStart w:id="6" w:name="tính-kịp-thời-của-các-tài-liệu-ngân-sách"/>
      <w:r>
        <w:t>Tính kịp thời của các tài liệu ngân sách</w:t>
      </w:r>
      <w:bookmarkEnd w:id="6"/>
    </w:p>
    <w:p w14:paraId="11E44E4F" w14:textId="0C26A6A3" w:rsidR="00F94968" w:rsidRDefault="00895B5A">
      <w:pPr>
        <w:pStyle w:val="FirstParagraph"/>
      </w:pPr>
      <w:r>
        <w:t xml:space="preserve">Khảo sát POBI 2019 xác định tính kịp thời của các tài liệu ngân sách dựa trên thời gian đăng tải các tài liệu này trên cổng thông tin điện tử của HĐND, UBND tỉnh, Sở Tài </w:t>
      </w:r>
      <w:r w:rsidR="00EA6A35">
        <w:t xml:space="preserve">Chính </w:t>
      </w:r>
      <w:r>
        <w:t xml:space="preserve">tỉnh như quy định của Thông tư 343/2016/TT-BTC. Kết quả POBI 2019 cho </w:t>
      </w:r>
      <w:r>
        <w:lastRenderedPageBreak/>
        <w:t>thấy, các tỉnh chưa công khai kịp thời các tài liệu ngân sách theo như quy định mặc dù đã có cải thiện hơn so với POBI 2018. Chi tiết về tính kịp thời của các tài liệu ngân sách được công khai xin xem Bảng 2.</w:t>
      </w:r>
    </w:p>
    <w:p w14:paraId="25E30353" w14:textId="0BDA5BE9" w:rsidR="00AD1A85" w:rsidRDefault="00AD1A85" w:rsidP="00AD1A85">
      <w:pPr>
        <w:pStyle w:val="Caption"/>
        <w:keepNext/>
      </w:pPr>
      <w:r>
        <w:t xml:space="preserve">Bảng </w:t>
      </w:r>
      <w:r w:rsidR="002E3AAA">
        <w:fldChar w:fldCharType="begin"/>
      </w:r>
      <w:r w:rsidR="002E3AAA">
        <w:instrText xml:space="preserve"> SEQ Bảng \* ARABIC </w:instrText>
      </w:r>
      <w:r w:rsidR="002E3AAA">
        <w:fldChar w:fldCharType="separate"/>
      </w:r>
      <w:r w:rsidR="0067281F">
        <w:rPr>
          <w:noProof/>
        </w:rPr>
        <w:t>2</w:t>
      </w:r>
      <w:r w:rsidR="002E3AAA">
        <w:rPr>
          <w:noProof/>
        </w:rPr>
        <w:fldChar w:fldCharType="end"/>
      </w:r>
      <w:r>
        <w:t xml:space="preserve">: </w:t>
      </w:r>
      <w:r w:rsidRPr="00B47255">
        <w:t>Số tỉnh công khai kịp thời các tài liệu ngân sách 2017-201</w:t>
      </w:r>
      <w:r>
        <w:t>9</w:t>
      </w:r>
    </w:p>
    <w:tbl>
      <w:tblPr>
        <w:tblW w:w="8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1890"/>
        <w:gridCol w:w="1890"/>
        <w:gridCol w:w="1620"/>
      </w:tblGrid>
      <w:tr w:rsidR="00AD1A85" w14:paraId="7045C9E6" w14:textId="5E2E97FB" w:rsidTr="003B1080">
        <w:trPr>
          <w:jc w:val="center"/>
        </w:trPr>
        <w:tc>
          <w:tcPr>
            <w:tcW w:w="3595" w:type="dxa"/>
            <w:shd w:val="clear" w:color="auto" w:fill="2F5496" w:themeFill="accent1" w:themeFillShade="BF"/>
          </w:tcPr>
          <w:p w14:paraId="2898711F" w14:textId="77777777" w:rsidR="00AD1A85" w:rsidRPr="00870AFA" w:rsidRDefault="00AD1A85" w:rsidP="0073080D">
            <w:pPr>
              <w:rPr>
                <w:b/>
                <w:bCs/>
                <w:color w:val="FFFFFF" w:themeColor="background1"/>
              </w:rPr>
            </w:pPr>
            <w:r w:rsidRPr="00870AFA">
              <w:rPr>
                <w:b/>
                <w:bCs/>
                <w:color w:val="FFFFFF" w:themeColor="background1"/>
              </w:rPr>
              <w:t>Tài liệ</w:t>
            </w:r>
            <w:r>
              <w:rPr>
                <w:b/>
                <w:bCs/>
                <w:color w:val="FFFFFF" w:themeColor="background1"/>
              </w:rPr>
              <w:t>u</w:t>
            </w:r>
          </w:p>
        </w:tc>
        <w:tc>
          <w:tcPr>
            <w:tcW w:w="1890" w:type="dxa"/>
            <w:shd w:val="clear" w:color="auto" w:fill="2F5496" w:themeFill="accent1" w:themeFillShade="BF"/>
          </w:tcPr>
          <w:p w14:paraId="7B38788B" w14:textId="77777777" w:rsidR="00AD1A85" w:rsidRPr="00870AFA" w:rsidRDefault="002E3AAA" w:rsidP="0073080D">
            <w:pPr>
              <w:jc w:val="right"/>
              <w:rPr>
                <w:b/>
                <w:bCs/>
                <w:color w:val="FFFFFF" w:themeColor="background1"/>
              </w:rPr>
            </w:pPr>
            <w:sdt>
              <w:sdtPr>
                <w:rPr>
                  <w:b/>
                  <w:bCs/>
                  <w:color w:val="FFFFFF" w:themeColor="background1"/>
                </w:rPr>
                <w:tag w:val="goog_rdk_172"/>
                <w:id w:val="1444801305"/>
              </w:sdtPr>
              <w:sdtEndPr/>
              <w:sdtContent>
                <w:r w:rsidR="00AD1A85" w:rsidRPr="00870AFA">
                  <w:rPr>
                    <w:b/>
                    <w:bCs/>
                    <w:color w:val="FFFFFF" w:themeColor="background1"/>
                  </w:rPr>
                  <w:t>POBI 2017</w:t>
                </w:r>
              </w:sdtContent>
            </w:sdt>
          </w:p>
        </w:tc>
        <w:tc>
          <w:tcPr>
            <w:tcW w:w="1890" w:type="dxa"/>
            <w:shd w:val="clear" w:color="auto" w:fill="2F5496" w:themeFill="accent1" w:themeFillShade="BF"/>
          </w:tcPr>
          <w:p w14:paraId="407554DF" w14:textId="77777777" w:rsidR="00AD1A85" w:rsidRPr="00870AFA" w:rsidRDefault="00AD1A85" w:rsidP="0073080D">
            <w:pPr>
              <w:jc w:val="right"/>
              <w:rPr>
                <w:b/>
                <w:bCs/>
                <w:color w:val="FFFFFF" w:themeColor="background1"/>
              </w:rPr>
            </w:pPr>
            <w:r w:rsidRPr="00870AFA">
              <w:rPr>
                <w:b/>
                <w:bCs/>
                <w:color w:val="FFFFFF" w:themeColor="background1"/>
              </w:rPr>
              <w:t>POBI 201</w:t>
            </w:r>
            <w:r>
              <w:rPr>
                <w:b/>
                <w:bCs/>
                <w:color w:val="FFFFFF" w:themeColor="background1"/>
              </w:rPr>
              <w:t>8</w:t>
            </w:r>
          </w:p>
        </w:tc>
        <w:tc>
          <w:tcPr>
            <w:tcW w:w="1620" w:type="dxa"/>
            <w:shd w:val="clear" w:color="auto" w:fill="2F5496" w:themeFill="accent1" w:themeFillShade="BF"/>
          </w:tcPr>
          <w:p w14:paraId="3C895ED6" w14:textId="5AC97B85" w:rsidR="00AD1A85" w:rsidRPr="00870AFA" w:rsidRDefault="00AD1A85" w:rsidP="0073080D">
            <w:pPr>
              <w:jc w:val="right"/>
              <w:rPr>
                <w:b/>
                <w:bCs/>
                <w:color w:val="FFFFFF" w:themeColor="background1"/>
              </w:rPr>
            </w:pPr>
            <w:r>
              <w:rPr>
                <w:b/>
                <w:bCs/>
                <w:color w:val="FFFFFF" w:themeColor="background1"/>
              </w:rPr>
              <w:t>POBI 2019</w:t>
            </w:r>
          </w:p>
        </w:tc>
      </w:tr>
      <w:tr w:rsidR="00235B9B" w14:paraId="3228C5D7" w14:textId="7D080BBC" w:rsidTr="003B1080">
        <w:trPr>
          <w:jc w:val="center"/>
        </w:trPr>
        <w:tc>
          <w:tcPr>
            <w:tcW w:w="3595" w:type="dxa"/>
          </w:tcPr>
          <w:p w14:paraId="405F630F" w14:textId="77777777" w:rsidR="00235B9B" w:rsidRDefault="00235B9B" w:rsidP="00235B9B">
            <w:r>
              <w:t xml:space="preserve">Dự thảo Dự toán ngân sách tỉnh năm trình HĐND tỉnh </w:t>
            </w:r>
          </w:p>
        </w:tc>
        <w:tc>
          <w:tcPr>
            <w:tcW w:w="1890" w:type="dxa"/>
          </w:tcPr>
          <w:p w14:paraId="2667FC82" w14:textId="38B94B4C" w:rsidR="00235B9B" w:rsidRPr="00394093" w:rsidRDefault="00235B9B" w:rsidP="00235B9B">
            <w:pPr>
              <w:jc w:val="right"/>
            </w:pPr>
            <w:r w:rsidRPr="00394093">
              <w:t>9</w:t>
            </w:r>
            <w:r>
              <w:t xml:space="preserve"> (</w:t>
            </w:r>
            <w:r w:rsidRPr="0045227F">
              <w:t>14.29</w:t>
            </w:r>
            <w:r>
              <w:t>%)</w:t>
            </w:r>
          </w:p>
        </w:tc>
        <w:tc>
          <w:tcPr>
            <w:tcW w:w="1890" w:type="dxa"/>
          </w:tcPr>
          <w:p w14:paraId="7E4EDAB1" w14:textId="7CE79FE2" w:rsidR="00235B9B" w:rsidRPr="00394093" w:rsidRDefault="00235B9B" w:rsidP="00235B9B">
            <w:pPr>
              <w:jc w:val="right"/>
            </w:pPr>
            <w:r w:rsidRPr="00394093">
              <w:t>29</w:t>
            </w:r>
            <w:r>
              <w:t xml:space="preserve"> (</w:t>
            </w:r>
            <w:r w:rsidRPr="0045227F">
              <w:t>46.03</w:t>
            </w:r>
            <w:r>
              <w:t>%)</w:t>
            </w:r>
          </w:p>
        </w:tc>
        <w:tc>
          <w:tcPr>
            <w:tcW w:w="1620" w:type="dxa"/>
          </w:tcPr>
          <w:p w14:paraId="38B71CE4" w14:textId="757DF913" w:rsidR="00235B9B" w:rsidRPr="00394093" w:rsidRDefault="00235B9B" w:rsidP="00235B9B">
            <w:pPr>
              <w:jc w:val="right"/>
            </w:pPr>
            <w:r w:rsidRPr="00884BD3">
              <w:t>36 (57.14 %)</w:t>
            </w:r>
          </w:p>
        </w:tc>
      </w:tr>
      <w:tr w:rsidR="00235B9B" w14:paraId="7D90E6E5" w14:textId="63DC1863" w:rsidTr="003B1080">
        <w:trPr>
          <w:jc w:val="center"/>
        </w:trPr>
        <w:tc>
          <w:tcPr>
            <w:tcW w:w="3595" w:type="dxa"/>
          </w:tcPr>
          <w:p w14:paraId="613AA797" w14:textId="77777777" w:rsidR="00235B9B" w:rsidRDefault="00235B9B" w:rsidP="00235B9B">
            <w:r>
              <w:t>Dự toán ngân sách tỉnh năm đã được HĐND tỉnh quyết định</w:t>
            </w:r>
          </w:p>
        </w:tc>
        <w:tc>
          <w:tcPr>
            <w:tcW w:w="1890" w:type="dxa"/>
          </w:tcPr>
          <w:p w14:paraId="223C2792" w14:textId="138509FB" w:rsidR="00235B9B" w:rsidRPr="00394093" w:rsidRDefault="00235B9B" w:rsidP="00235B9B">
            <w:pPr>
              <w:jc w:val="right"/>
            </w:pPr>
            <w:r w:rsidRPr="00394093">
              <w:t>35</w:t>
            </w:r>
            <w:r>
              <w:t xml:space="preserve"> (</w:t>
            </w:r>
            <w:r w:rsidRPr="0045227F">
              <w:t>55.56</w:t>
            </w:r>
            <w:r>
              <w:t>%)</w:t>
            </w:r>
          </w:p>
        </w:tc>
        <w:tc>
          <w:tcPr>
            <w:tcW w:w="1890" w:type="dxa"/>
          </w:tcPr>
          <w:p w14:paraId="78C6CC1A" w14:textId="3BE2F375" w:rsidR="00235B9B" w:rsidRPr="00394093" w:rsidRDefault="00235B9B" w:rsidP="00235B9B">
            <w:pPr>
              <w:jc w:val="right"/>
            </w:pPr>
            <w:r w:rsidRPr="00394093">
              <w:t>39</w:t>
            </w:r>
            <w:r>
              <w:t xml:space="preserve"> (</w:t>
            </w:r>
            <w:r w:rsidRPr="0045227F">
              <w:t>61.9</w:t>
            </w:r>
            <w:r>
              <w:t>%)</w:t>
            </w:r>
          </w:p>
        </w:tc>
        <w:tc>
          <w:tcPr>
            <w:tcW w:w="1620" w:type="dxa"/>
          </w:tcPr>
          <w:p w14:paraId="0DA08BB3" w14:textId="520B3073" w:rsidR="00235B9B" w:rsidRPr="00394093" w:rsidRDefault="00235B9B" w:rsidP="00235B9B">
            <w:pPr>
              <w:jc w:val="right"/>
            </w:pPr>
            <w:r w:rsidRPr="00884BD3">
              <w:t>35 (55.56 %)</w:t>
            </w:r>
          </w:p>
        </w:tc>
      </w:tr>
      <w:tr w:rsidR="00235B9B" w14:paraId="49B324C9" w14:textId="631BFD8F" w:rsidTr="003B1080">
        <w:trPr>
          <w:jc w:val="center"/>
        </w:trPr>
        <w:tc>
          <w:tcPr>
            <w:tcW w:w="3595" w:type="dxa"/>
          </w:tcPr>
          <w:p w14:paraId="3AF6DD4C" w14:textId="77777777" w:rsidR="00235B9B" w:rsidRDefault="00235B9B" w:rsidP="00235B9B">
            <w:r>
              <w:t>Báo cáo Tình hình thực hiện ngân sách tỉnh Quý 1</w:t>
            </w:r>
          </w:p>
        </w:tc>
        <w:tc>
          <w:tcPr>
            <w:tcW w:w="1890" w:type="dxa"/>
          </w:tcPr>
          <w:p w14:paraId="2B947B10" w14:textId="77777777" w:rsidR="00235B9B" w:rsidRPr="00394093" w:rsidRDefault="00235B9B" w:rsidP="00235B9B">
            <w:pPr>
              <w:jc w:val="right"/>
            </w:pPr>
            <w:r w:rsidRPr="00394093">
              <w:t>Không áp dụn</w:t>
            </w:r>
            <w:r>
              <w:t>g</w:t>
            </w:r>
          </w:p>
        </w:tc>
        <w:tc>
          <w:tcPr>
            <w:tcW w:w="1890" w:type="dxa"/>
          </w:tcPr>
          <w:p w14:paraId="7A41CF1A" w14:textId="6A630787" w:rsidR="00235B9B" w:rsidRPr="00394093" w:rsidRDefault="00235B9B" w:rsidP="00235B9B">
            <w:pPr>
              <w:jc w:val="right"/>
            </w:pPr>
            <w:r w:rsidRPr="00394093">
              <w:t>19</w:t>
            </w:r>
            <w:r>
              <w:t xml:space="preserve"> (</w:t>
            </w:r>
            <w:r w:rsidRPr="0045227F">
              <w:t>30.16</w:t>
            </w:r>
            <w:r>
              <w:t>%)</w:t>
            </w:r>
          </w:p>
        </w:tc>
        <w:tc>
          <w:tcPr>
            <w:tcW w:w="1620" w:type="dxa"/>
          </w:tcPr>
          <w:p w14:paraId="43DB453E" w14:textId="6CD2A8C1" w:rsidR="00235B9B" w:rsidRPr="00394093" w:rsidRDefault="00235B9B" w:rsidP="00235B9B">
            <w:pPr>
              <w:jc w:val="right"/>
            </w:pPr>
            <w:r w:rsidRPr="00884BD3">
              <w:t>27 (42.86 %)</w:t>
            </w:r>
          </w:p>
        </w:tc>
      </w:tr>
      <w:tr w:rsidR="00235B9B" w14:paraId="074AD235" w14:textId="4DFC43C0" w:rsidTr="003B1080">
        <w:trPr>
          <w:jc w:val="center"/>
        </w:trPr>
        <w:tc>
          <w:tcPr>
            <w:tcW w:w="3595" w:type="dxa"/>
          </w:tcPr>
          <w:p w14:paraId="78971519" w14:textId="77777777" w:rsidR="00235B9B" w:rsidRDefault="00235B9B" w:rsidP="00235B9B">
            <w:r>
              <w:t>Báo cáo Tình hình thực hiện ngân sách tỉnh Quý 2</w:t>
            </w:r>
          </w:p>
        </w:tc>
        <w:tc>
          <w:tcPr>
            <w:tcW w:w="1890" w:type="dxa"/>
          </w:tcPr>
          <w:p w14:paraId="5711575E" w14:textId="77777777" w:rsidR="00235B9B" w:rsidRPr="00394093" w:rsidRDefault="00235B9B" w:rsidP="00235B9B">
            <w:pPr>
              <w:jc w:val="right"/>
            </w:pPr>
            <w:r w:rsidRPr="00394093">
              <w:t>Không áp dụn</w:t>
            </w:r>
            <w:r>
              <w:t>g</w:t>
            </w:r>
          </w:p>
        </w:tc>
        <w:tc>
          <w:tcPr>
            <w:tcW w:w="1890" w:type="dxa"/>
          </w:tcPr>
          <w:p w14:paraId="4F519195" w14:textId="6F2EEC80" w:rsidR="00235B9B" w:rsidRPr="00394093" w:rsidRDefault="00235B9B" w:rsidP="00235B9B">
            <w:pPr>
              <w:jc w:val="right"/>
            </w:pPr>
            <w:r w:rsidRPr="00394093">
              <w:t>27</w:t>
            </w:r>
            <w:r>
              <w:t xml:space="preserve"> (</w:t>
            </w:r>
            <w:r w:rsidRPr="0045227F">
              <w:t>42.86</w:t>
            </w:r>
            <w:r>
              <w:t>%)</w:t>
            </w:r>
          </w:p>
        </w:tc>
        <w:tc>
          <w:tcPr>
            <w:tcW w:w="1620" w:type="dxa"/>
          </w:tcPr>
          <w:p w14:paraId="61BFE9A0" w14:textId="7DF28566" w:rsidR="00235B9B" w:rsidRPr="00394093" w:rsidRDefault="00235B9B" w:rsidP="00235B9B">
            <w:pPr>
              <w:jc w:val="right"/>
            </w:pPr>
            <w:r w:rsidRPr="00884BD3">
              <w:t>34 (53.97 %)</w:t>
            </w:r>
          </w:p>
        </w:tc>
      </w:tr>
      <w:tr w:rsidR="00235B9B" w14:paraId="46086CFE" w14:textId="1A7286E7" w:rsidTr="003B1080">
        <w:trPr>
          <w:jc w:val="center"/>
        </w:trPr>
        <w:tc>
          <w:tcPr>
            <w:tcW w:w="3595" w:type="dxa"/>
          </w:tcPr>
          <w:p w14:paraId="5C6EDCE5" w14:textId="77777777" w:rsidR="00235B9B" w:rsidRDefault="00235B9B" w:rsidP="00235B9B">
            <w:r>
              <w:t>Báo cáo Tình hình thực hiện ngân sách tỉnh Quý 3</w:t>
            </w:r>
          </w:p>
        </w:tc>
        <w:tc>
          <w:tcPr>
            <w:tcW w:w="1890" w:type="dxa"/>
          </w:tcPr>
          <w:p w14:paraId="241D2C63" w14:textId="7AF85C5C" w:rsidR="00235B9B" w:rsidRPr="00394093" w:rsidRDefault="00235B9B" w:rsidP="00235B9B">
            <w:pPr>
              <w:jc w:val="right"/>
            </w:pPr>
            <w:r w:rsidRPr="00394093">
              <w:t>11</w:t>
            </w:r>
            <w:r>
              <w:t xml:space="preserve"> (</w:t>
            </w:r>
            <w:r w:rsidRPr="0045227F">
              <w:t>17.46</w:t>
            </w:r>
            <w:r>
              <w:t>%)</w:t>
            </w:r>
          </w:p>
        </w:tc>
        <w:tc>
          <w:tcPr>
            <w:tcW w:w="1890" w:type="dxa"/>
          </w:tcPr>
          <w:p w14:paraId="0E3C9AB9" w14:textId="2B867262" w:rsidR="00235B9B" w:rsidRPr="00394093" w:rsidRDefault="00235B9B" w:rsidP="00235B9B">
            <w:pPr>
              <w:jc w:val="right"/>
            </w:pPr>
            <w:r w:rsidRPr="00394093">
              <w:t>23</w:t>
            </w:r>
            <w:r>
              <w:t xml:space="preserve"> (</w:t>
            </w:r>
            <w:r w:rsidRPr="0045227F">
              <w:t>36.51</w:t>
            </w:r>
            <w:r>
              <w:t>%)</w:t>
            </w:r>
            <w:r w:rsidRPr="00394093">
              <w:t xml:space="preserve"> </w:t>
            </w:r>
          </w:p>
        </w:tc>
        <w:tc>
          <w:tcPr>
            <w:tcW w:w="1620" w:type="dxa"/>
          </w:tcPr>
          <w:p w14:paraId="36AE1559" w14:textId="51478DBA" w:rsidR="00235B9B" w:rsidRPr="00394093" w:rsidRDefault="00235B9B" w:rsidP="00235B9B">
            <w:pPr>
              <w:jc w:val="right"/>
            </w:pPr>
            <w:r w:rsidRPr="00884BD3">
              <w:t>32 (50.79 %)</w:t>
            </w:r>
          </w:p>
        </w:tc>
      </w:tr>
      <w:tr w:rsidR="00235B9B" w14:paraId="32A2B40C" w14:textId="4F75D178" w:rsidTr="003B1080">
        <w:trPr>
          <w:jc w:val="center"/>
        </w:trPr>
        <w:tc>
          <w:tcPr>
            <w:tcW w:w="3595" w:type="dxa"/>
          </w:tcPr>
          <w:p w14:paraId="4C4A388B" w14:textId="77777777" w:rsidR="00235B9B" w:rsidRDefault="00235B9B" w:rsidP="00235B9B">
            <w:r>
              <w:t>Báo cáo Tình hình thực hiện ngân sách tỉnh năm</w:t>
            </w:r>
          </w:p>
        </w:tc>
        <w:tc>
          <w:tcPr>
            <w:tcW w:w="1890" w:type="dxa"/>
          </w:tcPr>
          <w:p w14:paraId="56681864" w14:textId="0523E497" w:rsidR="00235B9B" w:rsidRPr="00394093" w:rsidRDefault="00235B9B" w:rsidP="00235B9B">
            <w:pPr>
              <w:jc w:val="right"/>
            </w:pPr>
            <w:r w:rsidRPr="00394093">
              <w:t>21</w:t>
            </w:r>
            <w:r>
              <w:t xml:space="preserve"> (</w:t>
            </w:r>
            <w:r w:rsidRPr="0045227F">
              <w:t>33.33</w:t>
            </w:r>
            <w:r>
              <w:t>%)</w:t>
            </w:r>
          </w:p>
        </w:tc>
        <w:tc>
          <w:tcPr>
            <w:tcW w:w="1890" w:type="dxa"/>
          </w:tcPr>
          <w:p w14:paraId="727CA3BE" w14:textId="4C4E3053" w:rsidR="00235B9B" w:rsidRPr="00394093" w:rsidRDefault="00235B9B" w:rsidP="00235B9B">
            <w:pPr>
              <w:jc w:val="right"/>
            </w:pPr>
            <w:r w:rsidRPr="00394093">
              <w:t>15</w:t>
            </w:r>
            <w:r>
              <w:t xml:space="preserve"> (</w:t>
            </w:r>
            <w:r w:rsidRPr="0045227F">
              <w:t>23.81</w:t>
            </w:r>
            <w:r>
              <w:t>%)</w:t>
            </w:r>
          </w:p>
        </w:tc>
        <w:tc>
          <w:tcPr>
            <w:tcW w:w="1620" w:type="dxa"/>
          </w:tcPr>
          <w:p w14:paraId="75F1D623" w14:textId="5BDB155C" w:rsidR="00235B9B" w:rsidRPr="00394093" w:rsidRDefault="00235B9B" w:rsidP="00235B9B">
            <w:pPr>
              <w:jc w:val="right"/>
            </w:pPr>
            <w:r w:rsidRPr="00884BD3">
              <w:t>28 (44.44 %)</w:t>
            </w:r>
          </w:p>
        </w:tc>
      </w:tr>
      <w:tr w:rsidR="00235B9B" w14:paraId="58F10C46" w14:textId="59B0EBFB" w:rsidTr="003B1080">
        <w:trPr>
          <w:jc w:val="center"/>
        </w:trPr>
        <w:tc>
          <w:tcPr>
            <w:tcW w:w="3595" w:type="dxa"/>
          </w:tcPr>
          <w:p w14:paraId="26E20C4C" w14:textId="77777777" w:rsidR="00235B9B" w:rsidRDefault="00235B9B" w:rsidP="00235B9B">
            <w:r>
              <w:t>Báo cáo quyết toán ngân sách tỉnh</w:t>
            </w:r>
          </w:p>
        </w:tc>
        <w:tc>
          <w:tcPr>
            <w:tcW w:w="1890" w:type="dxa"/>
          </w:tcPr>
          <w:p w14:paraId="48FE9494" w14:textId="26B36CC9" w:rsidR="00235B9B" w:rsidRPr="00394093" w:rsidRDefault="00235B9B" w:rsidP="00235B9B">
            <w:pPr>
              <w:jc w:val="right"/>
            </w:pPr>
            <w:r w:rsidRPr="00394093">
              <w:t>30</w:t>
            </w:r>
            <w:r>
              <w:t xml:space="preserve"> (</w:t>
            </w:r>
            <w:r w:rsidRPr="0045227F">
              <w:t>47.62</w:t>
            </w:r>
            <w:r>
              <w:t>%)</w:t>
            </w:r>
          </w:p>
        </w:tc>
        <w:tc>
          <w:tcPr>
            <w:tcW w:w="1890" w:type="dxa"/>
          </w:tcPr>
          <w:p w14:paraId="6996CADA" w14:textId="2CC7F0B1" w:rsidR="00235B9B" w:rsidRPr="00394093" w:rsidRDefault="00235B9B" w:rsidP="00235B9B">
            <w:pPr>
              <w:jc w:val="right"/>
            </w:pPr>
            <w:r w:rsidRPr="00394093">
              <w:t>31</w:t>
            </w:r>
            <w:r>
              <w:t xml:space="preserve"> (</w:t>
            </w:r>
            <w:r w:rsidRPr="0045227F">
              <w:t>49.21</w:t>
            </w:r>
            <w:r>
              <w:t>%)</w:t>
            </w:r>
            <w:r w:rsidRPr="00394093">
              <w:t xml:space="preserve"> </w:t>
            </w:r>
          </w:p>
        </w:tc>
        <w:tc>
          <w:tcPr>
            <w:tcW w:w="1620" w:type="dxa"/>
          </w:tcPr>
          <w:p w14:paraId="7359F258" w14:textId="702CF380" w:rsidR="00235B9B" w:rsidRPr="00394093" w:rsidRDefault="00235B9B" w:rsidP="00235B9B">
            <w:pPr>
              <w:jc w:val="right"/>
            </w:pPr>
            <w:r w:rsidRPr="00884BD3">
              <w:t>40 (63.49 %)</w:t>
            </w:r>
          </w:p>
        </w:tc>
      </w:tr>
      <w:tr w:rsidR="00235B9B" w14:paraId="141864CF" w14:textId="77777777" w:rsidTr="003B1080">
        <w:trPr>
          <w:jc w:val="center"/>
        </w:trPr>
        <w:tc>
          <w:tcPr>
            <w:tcW w:w="3595" w:type="dxa"/>
          </w:tcPr>
          <w:p w14:paraId="7792A41C" w14:textId="29EAA134" w:rsidR="00235B9B" w:rsidRDefault="00235B9B" w:rsidP="00235B9B">
            <w:r w:rsidRPr="00394093">
              <w:t>Báo cáo ngân sách nhà nước dành cho công dâ</w:t>
            </w:r>
            <w:r>
              <w:t>n</w:t>
            </w:r>
          </w:p>
        </w:tc>
        <w:tc>
          <w:tcPr>
            <w:tcW w:w="1890" w:type="dxa"/>
          </w:tcPr>
          <w:p w14:paraId="4FAEB0B8" w14:textId="3929623F" w:rsidR="00235B9B" w:rsidRPr="00394093" w:rsidRDefault="00235B9B" w:rsidP="00235B9B">
            <w:pPr>
              <w:jc w:val="right"/>
            </w:pPr>
            <w:r>
              <w:t>Không áp dụng</w:t>
            </w:r>
          </w:p>
        </w:tc>
        <w:tc>
          <w:tcPr>
            <w:tcW w:w="1890" w:type="dxa"/>
          </w:tcPr>
          <w:p w14:paraId="7BBE6812" w14:textId="450E5681" w:rsidR="00235B9B" w:rsidRPr="00394093" w:rsidRDefault="00235B9B" w:rsidP="00235B9B">
            <w:pPr>
              <w:jc w:val="right"/>
            </w:pPr>
            <w:r>
              <w:t>Không áp dụng</w:t>
            </w:r>
          </w:p>
        </w:tc>
        <w:tc>
          <w:tcPr>
            <w:tcW w:w="1620" w:type="dxa"/>
          </w:tcPr>
          <w:p w14:paraId="52AB6396" w14:textId="4BBD5361" w:rsidR="00235B9B" w:rsidRDefault="00235B9B" w:rsidP="00235B9B">
            <w:pPr>
              <w:jc w:val="right"/>
            </w:pPr>
            <w:r w:rsidRPr="00884BD3">
              <w:t>10 (15.87 %)</w:t>
            </w:r>
          </w:p>
        </w:tc>
      </w:tr>
    </w:tbl>
    <w:p w14:paraId="24DA62B0" w14:textId="6908B67A" w:rsidR="00C13FB7" w:rsidRPr="00C13FB7" w:rsidRDefault="00C13FB7" w:rsidP="00C13FB7">
      <w:pPr>
        <w:pStyle w:val="FigureNotation"/>
        <w:rPr>
          <w:color w:val="auto"/>
        </w:rPr>
      </w:pPr>
      <w:r w:rsidRPr="00584C16">
        <w:rPr>
          <w:color w:val="auto"/>
        </w:rPr>
        <w:t>Nguồn: Kết quả khảo sát POBI 2017, 2018, 2019</w:t>
      </w:r>
    </w:p>
    <w:p w14:paraId="7E9CD90E" w14:textId="05B29417" w:rsidR="00F94968" w:rsidRDefault="00895B5A">
      <w:pPr>
        <w:pStyle w:val="BodyText"/>
      </w:pPr>
      <w:r>
        <w:t>Một điểm đáng lưu ý là kết quả POBI 201</w:t>
      </w:r>
      <w:r w:rsidR="000D226D">
        <w:t>9</w:t>
      </w:r>
      <w:r>
        <w:t xml:space="preserve"> có </w:t>
      </w:r>
      <w:r w:rsidR="00507035" w:rsidRPr="0004560A">
        <w:t>54 (85.71 %)</w:t>
      </w:r>
      <w:r w:rsidR="00507035">
        <w:t xml:space="preserve"> </w:t>
      </w:r>
      <w:r>
        <w:t xml:space="preserve">có công khai dự thảo dự toán ngân sách tỉnh năm 2019 trình HĐND tỉnh, nhưng chỉ có </w:t>
      </w:r>
      <w:r w:rsidR="00507035" w:rsidRPr="00884BD3">
        <w:t>36 (57.14 %)</w:t>
      </w:r>
      <w:r w:rsidR="00507035">
        <w:t xml:space="preserve"> </w:t>
      </w:r>
      <w:r>
        <w:t>công khai kịp thời (trong vòng 5 ngày làm việc kể từ ngày UBND tỉnh gửi tài liệu này cho đại biểu HĐND tỉnh), 8 tỉnh công bố chậm (trong vòng 15 đến 30 ngày) và 1</w:t>
      </w:r>
      <w:r w:rsidR="008422AF">
        <w:t>0</w:t>
      </w:r>
      <w:r>
        <w:t xml:space="preserve"> tỉnh công bố sau 30 ngày hoặc không xác định được chính xác thời điểm công bố. Như vậy, mục tiêu công khai dự thảo dự toán ngân sách nhà nước để cho người dân tham gia ý kiến chưa đạt được.</w:t>
      </w:r>
    </w:p>
    <w:p w14:paraId="7E4FD3EF" w14:textId="02E0BA3B" w:rsidR="00332D1D" w:rsidRDefault="0018771E">
      <w:pPr>
        <w:pStyle w:val="BodyText"/>
      </w:pPr>
      <w:r>
        <w:lastRenderedPageBreak/>
        <w:t xml:space="preserve">Có </w:t>
      </w:r>
      <w:r w:rsidR="009C71F7" w:rsidRPr="00884BD3">
        <w:t>35 (55.56 %)</w:t>
      </w:r>
      <w:r w:rsidR="009C71F7">
        <w:t xml:space="preserve"> </w:t>
      </w:r>
      <w:r>
        <w:t>số tỉnh công khai kịp thời Dự toán ngân sách tỉnh năm 2020 đã được HĐND tỉnh quyết định, giảm so với kỳ khảo sát 2018</w:t>
      </w:r>
      <w:r w:rsidR="00332D1D">
        <w:t xml:space="preserve"> tương ứng với</w:t>
      </w:r>
      <w:r w:rsidR="00921C0A">
        <w:t xml:space="preserve"> </w:t>
      </w:r>
      <w:r w:rsidR="00332D1D">
        <w:t>61.9%</w:t>
      </w:r>
      <w:r w:rsidR="00B5180F">
        <w:t xml:space="preserve"> số tỉnh công khai</w:t>
      </w:r>
      <w:r w:rsidR="00332D1D">
        <w:t>.</w:t>
      </w:r>
    </w:p>
    <w:p w14:paraId="623FDC4E" w14:textId="04188844" w:rsidR="00F94968" w:rsidRDefault="00895B5A">
      <w:pPr>
        <w:pStyle w:val="Heading4"/>
      </w:pPr>
      <w:bookmarkStart w:id="7" w:name="tính-đầy-đủ-của-các-tài-liệu-ngân-sách"/>
      <w:r>
        <w:t>Tính đầy đủ của các tài liệu ngân sách</w:t>
      </w:r>
      <w:bookmarkEnd w:id="7"/>
    </w:p>
    <w:p w14:paraId="0518AC25" w14:textId="77777777" w:rsidR="00024689" w:rsidRDefault="00024689" w:rsidP="00024689">
      <w:pPr>
        <w:pStyle w:val="FirstParagraph"/>
      </w:pPr>
      <w:r>
        <w:t>Khảo sát POBI 2019 xác định tính đầy đủ của các tài liệu ngân sách được công khai dựa trên hướng dẫn của Thông tư 343/2016/TT-BTC. Để được coi là đầy đủ thì các tài liệu ngân sách phải đảm bảo (i) đầy đủ các biểu mẫu và (ii) đầy đủ nội dung của một số bảng biểu như quy định của Thông tư 343 và nguyên tắc thống nhất trong tính toán và nguyên tắc có thể so sánh được giữa các năm đã được quy định tại Khoản 1, Điều 5 của Luật Thống kê 2015.</w:t>
      </w:r>
    </w:p>
    <w:p w14:paraId="66C83599" w14:textId="1A0A2CA5" w:rsidR="004E6BAE" w:rsidRDefault="004E6BAE">
      <w:pPr>
        <w:pStyle w:val="Caption"/>
        <w:keepNext/>
      </w:pPr>
      <w:r>
        <w:t xml:space="preserve">Bảng </w:t>
      </w:r>
      <w:r w:rsidR="002E3AAA">
        <w:fldChar w:fldCharType="begin"/>
      </w:r>
      <w:r w:rsidR="002E3AAA">
        <w:instrText xml:space="preserve"> SEQ Bảng \* ARABIC </w:instrText>
      </w:r>
      <w:r w:rsidR="002E3AAA">
        <w:fldChar w:fldCharType="separate"/>
      </w:r>
      <w:r w:rsidR="0067281F">
        <w:rPr>
          <w:noProof/>
        </w:rPr>
        <w:t>3</w:t>
      </w:r>
      <w:r w:rsidR="002E3AAA">
        <w:rPr>
          <w:noProof/>
        </w:rPr>
        <w:fldChar w:fldCharType="end"/>
      </w:r>
      <w:r>
        <w:t xml:space="preserve">: </w:t>
      </w:r>
      <w:r w:rsidRPr="00B47255">
        <w:t>Số lượng/tỷ lệ các tỉnh công khai đầy đủ các biểu mẫu của các tài liệu ngân sách được công khai 2017-201</w:t>
      </w:r>
      <w:r>
        <w:t>9</w:t>
      </w:r>
    </w:p>
    <w:tbl>
      <w:tblPr>
        <w:tblW w:w="8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1700"/>
        <w:gridCol w:w="1895"/>
        <w:gridCol w:w="1620"/>
      </w:tblGrid>
      <w:tr w:rsidR="00C93858" w14:paraId="10F49DC9" w14:textId="77777777" w:rsidTr="00C93858">
        <w:trPr>
          <w:jc w:val="center"/>
        </w:trPr>
        <w:tc>
          <w:tcPr>
            <w:tcW w:w="3505" w:type="dxa"/>
            <w:shd w:val="clear" w:color="auto" w:fill="2F5496" w:themeFill="accent1" w:themeFillShade="BF"/>
          </w:tcPr>
          <w:p w14:paraId="3C031D66" w14:textId="77777777" w:rsidR="00C93858" w:rsidRPr="00870AFA" w:rsidRDefault="00C93858" w:rsidP="00972242">
            <w:pPr>
              <w:rPr>
                <w:b/>
                <w:bCs/>
                <w:color w:val="FFFFFF" w:themeColor="background1"/>
              </w:rPr>
            </w:pPr>
            <w:r w:rsidRPr="00870AFA">
              <w:rPr>
                <w:b/>
                <w:bCs/>
                <w:color w:val="FFFFFF" w:themeColor="background1"/>
              </w:rPr>
              <w:t>Tài liệ</w:t>
            </w:r>
            <w:r>
              <w:rPr>
                <w:b/>
                <w:bCs/>
                <w:color w:val="FFFFFF" w:themeColor="background1"/>
              </w:rPr>
              <w:t>u</w:t>
            </w:r>
          </w:p>
        </w:tc>
        <w:tc>
          <w:tcPr>
            <w:tcW w:w="1700" w:type="dxa"/>
            <w:shd w:val="clear" w:color="auto" w:fill="2F5496" w:themeFill="accent1" w:themeFillShade="BF"/>
          </w:tcPr>
          <w:p w14:paraId="5E8B93C4" w14:textId="77777777" w:rsidR="00C93858" w:rsidRPr="00870AFA" w:rsidRDefault="002E3AAA" w:rsidP="00972242">
            <w:pPr>
              <w:jc w:val="right"/>
              <w:rPr>
                <w:b/>
                <w:bCs/>
                <w:color w:val="FFFFFF" w:themeColor="background1"/>
              </w:rPr>
            </w:pPr>
            <w:sdt>
              <w:sdtPr>
                <w:rPr>
                  <w:b/>
                  <w:bCs/>
                  <w:color w:val="FFFFFF" w:themeColor="background1"/>
                </w:rPr>
                <w:tag w:val="goog_rdk_172"/>
                <w:id w:val="1339047829"/>
              </w:sdtPr>
              <w:sdtEndPr/>
              <w:sdtContent>
                <w:r w:rsidR="00C93858" w:rsidRPr="00870AFA">
                  <w:rPr>
                    <w:b/>
                    <w:bCs/>
                    <w:color w:val="FFFFFF" w:themeColor="background1"/>
                  </w:rPr>
                  <w:t>POBI 2017</w:t>
                </w:r>
              </w:sdtContent>
            </w:sdt>
          </w:p>
        </w:tc>
        <w:tc>
          <w:tcPr>
            <w:tcW w:w="1895" w:type="dxa"/>
            <w:shd w:val="clear" w:color="auto" w:fill="2F5496" w:themeFill="accent1" w:themeFillShade="BF"/>
          </w:tcPr>
          <w:p w14:paraId="2BB0AB82" w14:textId="77777777" w:rsidR="00C93858" w:rsidRPr="00870AFA" w:rsidRDefault="00C93858" w:rsidP="00972242">
            <w:pPr>
              <w:jc w:val="right"/>
              <w:rPr>
                <w:b/>
                <w:bCs/>
                <w:color w:val="FFFFFF" w:themeColor="background1"/>
              </w:rPr>
            </w:pPr>
            <w:r w:rsidRPr="00870AFA">
              <w:rPr>
                <w:b/>
                <w:bCs/>
                <w:color w:val="FFFFFF" w:themeColor="background1"/>
              </w:rPr>
              <w:t>POBI 201</w:t>
            </w:r>
            <w:r>
              <w:rPr>
                <w:b/>
                <w:bCs/>
                <w:color w:val="FFFFFF" w:themeColor="background1"/>
              </w:rPr>
              <w:t>8</w:t>
            </w:r>
          </w:p>
        </w:tc>
        <w:tc>
          <w:tcPr>
            <w:tcW w:w="1620" w:type="dxa"/>
            <w:shd w:val="clear" w:color="auto" w:fill="2F5496" w:themeFill="accent1" w:themeFillShade="BF"/>
          </w:tcPr>
          <w:p w14:paraId="33B063E2" w14:textId="77777777" w:rsidR="00C93858" w:rsidRPr="00870AFA" w:rsidRDefault="00C93858" w:rsidP="00972242">
            <w:pPr>
              <w:jc w:val="right"/>
              <w:rPr>
                <w:b/>
                <w:bCs/>
                <w:color w:val="FFFFFF" w:themeColor="background1"/>
              </w:rPr>
            </w:pPr>
            <w:r>
              <w:rPr>
                <w:b/>
                <w:bCs/>
                <w:color w:val="FFFFFF" w:themeColor="background1"/>
              </w:rPr>
              <w:t>POBI 2019</w:t>
            </w:r>
          </w:p>
        </w:tc>
      </w:tr>
      <w:tr w:rsidR="00F72728" w14:paraId="15AF0C8C" w14:textId="77777777" w:rsidTr="00C93858">
        <w:trPr>
          <w:jc w:val="center"/>
        </w:trPr>
        <w:tc>
          <w:tcPr>
            <w:tcW w:w="3505" w:type="dxa"/>
          </w:tcPr>
          <w:p w14:paraId="1355E2D7" w14:textId="5CE91898" w:rsidR="00F72728" w:rsidRDefault="00F72728" w:rsidP="00F72728">
            <w:r w:rsidRPr="006B6A73">
              <w:t>Dự thảo Dự toán ngân sách tỉnh năm trình HĐND tỉnh công khai đầy đủ 13 biểu mẫu</w:t>
            </w:r>
          </w:p>
        </w:tc>
        <w:tc>
          <w:tcPr>
            <w:tcW w:w="1700" w:type="dxa"/>
          </w:tcPr>
          <w:p w14:paraId="60EC1C22" w14:textId="7758BE92" w:rsidR="00F72728" w:rsidRPr="00394093" w:rsidRDefault="00F72728" w:rsidP="00F72728">
            <w:pPr>
              <w:jc w:val="right"/>
            </w:pPr>
            <w:r w:rsidRPr="005C5C66">
              <w:t>2 (3.2%)</w:t>
            </w:r>
          </w:p>
        </w:tc>
        <w:tc>
          <w:tcPr>
            <w:tcW w:w="1895" w:type="dxa"/>
          </w:tcPr>
          <w:p w14:paraId="5D002FDF" w14:textId="1EE189DC" w:rsidR="00F72728" w:rsidRPr="00394093" w:rsidRDefault="00F72728" w:rsidP="00F72728">
            <w:pPr>
              <w:jc w:val="right"/>
            </w:pPr>
            <w:r w:rsidRPr="005C5C66">
              <w:t>10 (15.9%)</w:t>
            </w:r>
          </w:p>
        </w:tc>
        <w:tc>
          <w:tcPr>
            <w:tcW w:w="1620" w:type="dxa"/>
          </w:tcPr>
          <w:p w14:paraId="6B3970F3" w14:textId="376C302A" w:rsidR="00F72728" w:rsidRPr="00394093" w:rsidRDefault="00F72728" w:rsidP="00F72728">
            <w:pPr>
              <w:jc w:val="right"/>
            </w:pPr>
            <w:r w:rsidRPr="00A76AF1">
              <w:t>18 (28.57 %)</w:t>
            </w:r>
          </w:p>
        </w:tc>
      </w:tr>
      <w:tr w:rsidR="00F72728" w14:paraId="2ED807A6" w14:textId="77777777" w:rsidTr="00C93858">
        <w:trPr>
          <w:jc w:val="center"/>
        </w:trPr>
        <w:tc>
          <w:tcPr>
            <w:tcW w:w="3505" w:type="dxa"/>
          </w:tcPr>
          <w:p w14:paraId="77810A7B" w14:textId="3329800B" w:rsidR="00F72728" w:rsidRDefault="00F72728" w:rsidP="00F72728">
            <w:r w:rsidRPr="006B6A73">
              <w:t>Dự toán ngân sách tỉnh năm đã được HĐND tỉnh quyết định công khai đầy đủ 13 biểu mẫu</w:t>
            </w:r>
          </w:p>
        </w:tc>
        <w:tc>
          <w:tcPr>
            <w:tcW w:w="1700" w:type="dxa"/>
          </w:tcPr>
          <w:p w14:paraId="2C7C16A8" w14:textId="3C2355A6" w:rsidR="00F72728" w:rsidRPr="00394093" w:rsidRDefault="00F72728" w:rsidP="00F72728">
            <w:pPr>
              <w:jc w:val="right"/>
            </w:pPr>
            <w:r w:rsidRPr="005C5C66">
              <w:t>10 (15.9%)</w:t>
            </w:r>
          </w:p>
        </w:tc>
        <w:tc>
          <w:tcPr>
            <w:tcW w:w="1895" w:type="dxa"/>
          </w:tcPr>
          <w:p w14:paraId="2F7DFC2E" w14:textId="46E22EA5" w:rsidR="00F72728" w:rsidRPr="00394093" w:rsidRDefault="00F72728" w:rsidP="00F72728">
            <w:pPr>
              <w:jc w:val="right"/>
            </w:pPr>
            <w:r w:rsidRPr="005C5C66">
              <w:t>16 (25.4%)</w:t>
            </w:r>
          </w:p>
        </w:tc>
        <w:tc>
          <w:tcPr>
            <w:tcW w:w="1620" w:type="dxa"/>
          </w:tcPr>
          <w:p w14:paraId="0F403FB0" w14:textId="78BD6B37" w:rsidR="00F72728" w:rsidRPr="00394093" w:rsidRDefault="002C750E" w:rsidP="00F72728">
            <w:pPr>
              <w:jc w:val="right"/>
            </w:pPr>
            <w:r w:rsidRPr="002C750E">
              <w:t>27 (42.86 %)</w:t>
            </w:r>
          </w:p>
        </w:tc>
      </w:tr>
      <w:tr w:rsidR="00F72728" w14:paraId="462D099F" w14:textId="77777777" w:rsidTr="00C93858">
        <w:trPr>
          <w:jc w:val="center"/>
        </w:trPr>
        <w:tc>
          <w:tcPr>
            <w:tcW w:w="3505" w:type="dxa"/>
          </w:tcPr>
          <w:p w14:paraId="30AA3470" w14:textId="650A4A4B" w:rsidR="00F72728" w:rsidRDefault="00F72728" w:rsidP="00F72728">
            <w:r w:rsidRPr="006B6A73">
              <w:t>Báo cáo Tình hình thực hiện ngân sách tỉnh Quý 1 có công khai đủ 3 biểu mẫu</w:t>
            </w:r>
          </w:p>
        </w:tc>
        <w:tc>
          <w:tcPr>
            <w:tcW w:w="1700" w:type="dxa"/>
          </w:tcPr>
          <w:p w14:paraId="0CAA6AF5" w14:textId="7F49852E" w:rsidR="00F72728" w:rsidRPr="00394093" w:rsidRDefault="00F72728" w:rsidP="00F72728">
            <w:pPr>
              <w:jc w:val="right"/>
            </w:pPr>
            <w:r w:rsidRPr="005C5C66">
              <w:t>Không áp dụng</w:t>
            </w:r>
          </w:p>
        </w:tc>
        <w:tc>
          <w:tcPr>
            <w:tcW w:w="1895" w:type="dxa"/>
          </w:tcPr>
          <w:p w14:paraId="00D5EA50" w14:textId="5900DA2F" w:rsidR="00F72728" w:rsidRPr="00394093" w:rsidRDefault="00F72728" w:rsidP="00F72728">
            <w:pPr>
              <w:jc w:val="right"/>
            </w:pPr>
            <w:r w:rsidRPr="005C5C66">
              <w:t>37 (58.7%)</w:t>
            </w:r>
          </w:p>
        </w:tc>
        <w:tc>
          <w:tcPr>
            <w:tcW w:w="1620" w:type="dxa"/>
          </w:tcPr>
          <w:p w14:paraId="298AA01C" w14:textId="3D4EF464" w:rsidR="00F72728" w:rsidRPr="00394093" w:rsidRDefault="00F72728" w:rsidP="00F72728">
            <w:pPr>
              <w:jc w:val="right"/>
            </w:pPr>
            <w:r w:rsidRPr="00A76AF1">
              <w:t>53 (84.13 %)</w:t>
            </w:r>
          </w:p>
        </w:tc>
      </w:tr>
      <w:tr w:rsidR="00F72728" w14:paraId="1A4A1CD7" w14:textId="77777777" w:rsidTr="00C93858">
        <w:trPr>
          <w:jc w:val="center"/>
        </w:trPr>
        <w:tc>
          <w:tcPr>
            <w:tcW w:w="3505" w:type="dxa"/>
          </w:tcPr>
          <w:p w14:paraId="48D6E7A0" w14:textId="2B2704B3" w:rsidR="00F72728" w:rsidRDefault="00F72728" w:rsidP="00F72728">
            <w:r w:rsidRPr="006B6A73">
              <w:t>Báo cáo Tình hình thực hiện ngân sách tỉnh Quý 2 có công bố đầy đủ 3 biểu mẫu</w:t>
            </w:r>
          </w:p>
        </w:tc>
        <w:tc>
          <w:tcPr>
            <w:tcW w:w="1700" w:type="dxa"/>
          </w:tcPr>
          <w:p w14:paraId="7780B299" w14:textId="0F23B212" w:rsidR="00F72728" w:rsidRPr="00394093" w:rsidRDefault="00F72728" w:rsidP="00F72728">
            <w:pPr>
              <w:jc w:val="right"/>
            </w:pPr>
            <w:r w:rsidRPr="005C5C66">
              <w:t>Không áp dụng</w:t>
            </w:r>
          </w:p>
        </w:tc>
        <w:tc>
          <w:tcPr>
            <w:tcW w:w="1895" w:type="dxa"/>
          </w:tcPr>
          <w:p w14:paraId="1F5090BE" w14:textId="435CE515" w:rsidR="00F72728" w:rsidRPr="00394093" w:rsidRDefault="00F72728" w:rsidP="00F72728">
            <w:pPr>
              <w:jc w:val="right"/>
            </w:pPr>
            <w:r w:rsidRPr="005C5C66">
              <w:t>41 (65.1%)</w:t>
            </w:r>
          </w:p>
        </w:tc>
        <w:tc>
          <w:tcPr>
            <w:tcW w:w="1620" w:type="dxa"/>
          </w:tcPr>
          <w:p w14:paraId="70CD97EC" w14:textId="0C52751C" w:rsidR="00F72728" w:rsidRPr="00394093" w:rsidRDefault="00F72728" w:rsidP="00F72728">
            <w:pPr>
              <w:jc w:val="right"/>
            </w:pPr>
            <w:r w:rsidRPr="00A76AF1">
              <w:t>52 (82.54 %)</w:t>
            </w:r>
          </w:p>
        </w:tc>
      </w:tr>
      <w:tr w:rsidR="00F72728" w14:paraId="4B36E947" w14:textId="77777777" w:rsidTr="00C93858">
        <w:trPr>
          <w:jc w:val="center"/>
        </w:trPr>
        <w:tc>
          <w:tcPr>
            <w:tcW w:w="3505" w:type="dxa"/>
          </w:tcPr>
          <w:p w14:paraId="2841315C" w14:textId="042F1EEF" w:rsidR="00F72728" w:rsidRDefault="00F72728" w:rsidP="00F72728">
            <w:r w:rsidRPr="006B6A73">
              <w:t>Báo cáo Tình hình thực hiện ngân sách tỉnh Quý 3 có công bố đầy đủ 3 biểu mẫu</w:t>
            </w:r>
          </w:p>
        </w:tc>
        <w:tc>
          <w:tcPr>
            <w:tcW w:w="1700" w:type="dxa"/>
          </w:tcPr>
          <w:p w14:paraId="680F544F" w14:textId="25478C11" w:rsidR="00F72728" w:rsidRPr="00394093" w:rsidRDefault="00F72728" w:rsidP="00F72728">
            <w:pPr>
              <w:jc w:val="right"/>
            </w:pPr>
            <w:r w:rsidRPr="005C5C66">
              <w:t>22 (34.9%)</w:t>
            </w:r>
          </w:p>
        </w:tc>
        <w:tc>
          <w:tcPr>
            <w:tcW w:w="1895" w:type="dxa"/>
          </w:tcPr>
          <w:p w14:paraId="2F225C40" w14:textId="429A98E9" w:rsidR="00F72728" w:rsidRPr="00394093" w:rsidRDefault="00F72728" w:rsidP="00F72728">
            <w:pPr>
              <w:jc w:val="right"/>
            </w:pPr>
            <w:r w:rsidRPr="005C5C66">
              <w:t>41 (65.1%)</w:t>
            </w:r>
          </w:p>
        </w:tc>
        <w:tc>
          <w:tcPr>
            <w:tcW w:w="1620" w:type="dxa"/>
          </w:tcPr>
          <w:p w14:paraId="5439DF43" w14:textId="4CC7248F" w:rsidR="00F72728" w:rsidRPr="00394093" w:rsidRDefault="00F72728" w:rsidP="00F72728">
            <w:pPr>
              <w:jc w:val="right"/>
            </w:pPr>
            <w:r w:rsidRPr="00A76AF1">
              <w:t>53 (84.13 %)</w:t>
            </w:r>
          </w:p>
        </w:tc>
      </w:tr>
      <w:tr w:rsidR="00F72728" w14:paraId="0B6913F9" w14:textId="77777777" w:rsidTr="00C93858">
        <w:trPr>
          <w:jc w:val="center"/>
        </w:trPr>
        <w:tc>
          <w:tcPr>
            <w:tcW w:w="3505" w:type="dxa"/>
          </w:tcPr>
          <w:p w14:paraId="14A01DC4" w14:textId="21D6F045" w:rsidR="00F72728" w:rsidRDefault="00F72728" w:rsidP="00F72728">
            <w:r w:rsidRPr="006B6A73">
              <w:lastRenderedPageBreak/>
              <w:t>Báo cáo Tình hình thực hiện ngân sách tỉnh năm có công bố đầy đủ 3 biểu mẫu</w:t>
            </w:r>
          </w:p>
        </w:tc>
        <w:tc>
          <w:tcPr>
            <w:tcW w:w="1700" w:type="dxa"/>
          </w:tcPr>
          <w:p w14:paraId="5DA29AEE" w14:textId="6A9AB6A7" w:rsidR="00F72728" w:rsidRPr="00394093" w:rsidRDefault="00F72728" w:rsidP="00F72728">
            <w:pPr>
              <w:jc w:val="right"/>
            </w:pPr>
            <w:r w:rsidRPr="005C5C66">
              <w:t>11 (17.5%)</w:t>
            </w:r>
          </w:p>
        </w:tc>
        <w:tc>
          <w:tcPr>
            <w:tcW w:w="1895" w:type="dxa"/>
          </w:tcPr>
          <w:p w14:paraId="421E752D" w14:textId="50DF0606" w:rsidR="00F72728" w:rsidRPr="00394093" w:rsidRDefault="00F72728" w:rsidP="00F72728">
            <w:pPr>
              <w:jc w:val="right"/>
            </w:pPr>
            <w:r w:rsidRPr="005C5C66">
              <w:t>25 (39.7%)</w:t>
            </w:r>
          </w:p>
        </w:tc>
        <w:tc>
          <w:tcPr>
            <w:tcW w:w="1620" w:type="dxa"/>
          </w:tcPr>
          <w:p w14:paraId="25821B96" w14:textId="385457D4" w:rsidR="00F72728" w:rsidRPr="00394093" w:rsidRDefault="00F72728" w:rsidP="00F72728">
            <w:pPr>
              <w:jc w:val="right"/>
            </w:pPr>
            <w:r w:rsidRPr="00A76AF1">
              <w:t>42 (66.67 %)</w:t>
            </w:r>
          </w:p>
        </w:tc>
      </w:tr>
      <w:tr w:rsidR="00F72728" w14:paraId="428682E0" w14:textId="77777777" w:rsidTr="00C93858">
        <w:trPr>
          <w:jc w:val="center"/>
        </w:trPr>
        <w:tc>
          <w:tcPr>
            <w:tcW w:w="3505" w:type="dxa"/>
          </w:tcPr>
          <w:p w14:paraId="59300010" w14:textId="318F59E8" w:rsidR="00F72728" w:rsidRDefault="00F72728" w:rsidP="00F72728">
            <w:r w:rsidRPr="006B6A73">
              <w:t>Báo cáo quyết toán ngân sách tỉnh có công bố đầy đủ 7 biểu mẫu</w:t>
            </w:r>
          </w:p>
        </w:tc>
        <w:tc>
          <w:tcPr>
            <w:tcW w:w="1700" w:type="dxa"/>
          </w:tcPr>
          <w:p w14:paraId="217F4007" w14:textId="186F7A80" w:rsidR="00F72728" w:rsidRPr="00394093" w:rsidRDefault="00F72728" w:rsidP="00F72728">
            <w:pPr>
              <w:jc w:val="right"/>
            </w:pPr>
            <w:r w:rsidRPr="005C5C66">
              <w:t>Không áp dụng</w:t>
            </w:r>
          </w:p>
        </w:tc>
        <w:tc>
          <w:tcPr>
            <w:tcW w:w="1895" w:type="dxa"/>
          </w:tcPr>
          <w:p w14:paraId="29C81AB2" w14:textId="3840BBE4" w:rsidR="00F72728" w:rsidRPr="00394093" w:rsidRDefault="00F72728" w:rsidP="00F72728">
            <w:pPr>
              <w:jc w:val="right"/>
            </w:pPr>
            <w:r w:rsidRPr="005C5C66">
              <w:t>38 (60.3%)</w:t>
            </w:r>
          </w:p>
        </w:tc>
        <w:tc>
          <w:tcPr>
            <w:tcW w:w="1620" w:type="dxa"/>
          </w:tcPr>
          <w:p w14:paraId="7CB4E372" w14:textId="02474CDB" w:rsidR="00F72728" w:rsidRPr="00394093" w:rsidRDefault="00F72728" w:rsidP="00F72728">
            <w:pPr>
              <w:jc w:val="right"/>
            </w:pPr>
            <w:r w:rsidRPr="00A76AF1">
              <w:t>46 (73.02 %)</w:t>
            </w:r>
          </w:p>
        </w:tc>
      </w:tr>
    </w:tbl>
    <w:p w14:paraId="6D05E365" w14:textId="18F80A87" w:rsidR="00C93858" w:rsidRPr="00584C16" w:rsidRDefault="00584C16" w:rsidP="00584C16">
      <w:pPr>
        <w:pStyle w:val="FigureNotation"/>
        <w:rPr>
          <w:color w:val="auto"/>
        </w:rPr>
      </w:pPr>
      <w:r w:rsidRPr="00584C16">
        <w:rPr>
          <w:color w:val="auto"/>
        </w:rPr>
        <w:t>Nguồn: Kết quả khảo sát POBI 2017, 2018, 2019</w:t>
      </w:r>
    </w:p>
    <w:p w14:paraId="7C51386A" w14:textId="34CA48C6" w:rsidR="00A34537" w:rsidRDefault="00024689" w:rsidP="00C93858">
      <w:bookmarkStart w:id="8" w:name="_Hlk44945686"/>
      <w:r>
        <w:t>Kết quả khảo sát POBI 2019 cho thấy</w:t>
      </w:r>
      <w:r w:rsidR="00ED05BA">
        <w:t xml:space="preserve"> có một sự cải thiện về tính đầy đủ đối với tất cả các tài liệu được công khai.</w:t>
      </w:r>
      <w:r w:rsidR="00E77BE2">
        <w:t xml:space="preserve"> Các báo cáo tình hình thực hiện quý 1và 9 tháng</w:t>
      </w:r>
      <w:r w:rsidR="005F761A">
        <w:t xml:space="preserve"> năm 2019</w:t>
      </w:r>
      <w:r w:rsidR="00E77BE2">
        <w:t xml:space="preserve"> là loại tài liệu được công khai với đầy đủ biểu mẫu nhiều nhất, với 5</w:t>
      </w:r>
      <w:r w:rsidR="00993FB4">
        <w:t>3</w:t>
      </w:r>
      <w:r w:rsidR="00E77BE2">
        <w:t xml:space="preserve"> tỉnh công khai đầy đủ 3 bảng biểu theo như quy định trong Thông tư 343.</w:t>
      </w:r>
      <w:r w:rsidR="005F761A">
        <w:t xml:space="preserve"> Báo cáo dự thảo dự toán 2020 trình HĐND tỉnh là báo cáo ít được công khai kèm đầy đủ bảng biểu nhất (chỉ có 1</w:t>
      </w:r>
      <w:r w:rsidR="003151BE">
        <w:t>8</w:t>
      </w:r>
      <w:r w:rsidR="005F761A">
        <w:t xml:space="preserve"> tỉnh công khai</w:t>
      </w:r>
      <w:r w:rsidR="00332D1D">
        <w:t xml:space="preserve"> đủ 13 biểu mẫu</w:t>
      </w:r>
      <w:r w:rsidR="005F761A">
        <w:t>, tương đương với 2</w:t>
      </w:r>
      <w:r w:rsidR="00B33594">
        <w:t>8.57</w:t>
      </w:r>
      <w:r w:rsidR="005F761A">
        <w:t>%), theo sau đó là báo cáo dự toán 2020 đã được HĐND quyết định với 2</w:t>
      </w:r>
      <w:r w:rsidR="00120B94">
        <w:t>7</w:t>
      </w:r>
      <w:r w:rsidR="005F761A">
        <w:t xml:space="preserve"> tỉnh công khai</w:t>
      </w:r>
      <w:r w:rsidR="00332D1D">
        <w:t xml:space="preserve"> đủ 13 biểu mẫu</w:t>
      </w:r>
      <w:r w:rsidR="005F761A">
        <w:t xml:space="preserve">, tương đương với </w:t>
      </w:r>
      <w:r w:rsidR="005D38A0">
        <w:t>4</w:t>
      </w:r>
      <w:r w:rsidR="009A50BF">
        <w:t>2</w:t>
      </w:r>
      <w:r w:rsidR="005F761A">
        <w:t>.</w:t>
      </w:r>
      <w:r w:rsidR="009A50BF">
        <w:t>86</w:t>
      </w:r>
      <w:r w:rsidR="005F761A">
        <w:t>%</w:t>
      </w:r>
      <w:r w:rsidR="00A34537">
        <w:t>.</w:t>
      </w:r>
    </w:p>
    <w:bookmarkEnd w:id="8"/>
    <w:p w14:paraId="518D0003" w14:textId="74C16984" w:rsidR="00CE201D" w:rsidRDefault="00A34537" w:rsidP="00C93858">
      <w:r>
        <w:t xml:space="preserve">Nội dung của các bảng biểu được công khai của dự thảo dự toán ngân sách tỉnh trình HĐND tỉnh và dự toán ngân sách tỉnh đã được HĐND tỉnh quyết định chưa đẩy đủ nội dung như hướng dẫn của Thông tư 343. </w:t>
      </w:r>
      <w:r w:rsidR="00CE201D">
        <w:t>Đối với dự thảo dự toán trình HĐND tỉnh, c</w:t>
      </w:r>
      <w:r>
        <w:t>ó 3</w:t>
      </w:r>
      <w:r w:rsidR="00416554">
        <w:t>7</w:t>
      </w:r>
      <w:r>
        <w:t xml:space="preserve"> tỉnh phản ánh đầy đủ cả 5 mục lớn và chi tiết các mục nhỏ theo quy định của biểu số 33-cân đối ngân sách địa phương, có 2</w:t>
      </w:r>
      <w:r w:rsidR="005B06F5">
        <w:t>3</w:t>
      </w:r>
      <w:r>
        <w:t xml:space="preserve"> tỉnh phản ánh đầy đủ các khoản thu cấu thành toàn bộ khoản thu nội địa (gồm 18 mục nhỏ) và chi tiết theo từng loại thuế của biểu số 35- dự toán thu NSNN trên địa bàn, có 2</w:t>
      </w:r>
      <w:r w:rsidR="00CF738D">
        <w:t>7</w:t>
      </w:r>
      <w:r>
        <w:t xml:space="preserve"> tỉnh có phản ánh chi tiết toàn bộ nội dung các dự toán chi đầu tư </w:t>
      </w:r>
      <w:r w:rsidR="00CE201D">
        <w:t xml:space="preserve">phát triển </w:t>
      </w:r>
      <w:r>
        <w:t>cho các lĩnh vực của biểu số 39</w:t>
      </w:r>
      <w:r w:rsidR="00D6742B">
        <w:t xml:space="preserve"> </w:t>
      </w:r>
      <w:r>
        <w:t xml:space="preserve">- dự toán chi đầu tư </w:t>
      </w:r>
      <w:r w:rsidR="00CE201D">
        <w:t>phát triển của ngân sách cấp tỉnh cho từng cơ quan, tổ chức theo lĩnh vực.</w:t>
      </w:r>
    </w:p>
    <w:p w14:paraId="754C881D" w14:textId="2A2629FB" w:rsidR="00CE201D" w:rsidRDefault="00CE201D" w:rsidP="00C93858">
      <w:r>
        <w:t>Có 2</w:t>
      </w:r>
      <w:r w:rsidR="007702E4">
        <w:t>4</w:t>
      </w:r>
      <w:r>
        <w:t xml:space="preserve"> tỉnh phản ánh đầy đủ các nguồn thu cụ thể cấu thành toàn bộ khoản thu nội địa bao gồm 18 mục nhỏ và chi tiết theo từng loại thuế của biểu số 48- dự toán thu NSNN trên địa bàn, có 3</w:t>
      </w:r>
      <w:r w:rsidR="007A32DE">
        <w:t>4</w:t>
      </w:r>
      <w:r>
        <w:t xml:space="preserve"> tỉnh phản ánh dự toán cụ thể cho 12 lĩnh vực chi đầu tư đối với biểu số 52 – Biểu Dự toán chi đầu tư phát triển của ngân sách cấp tỉnh cho từng cơ quan tổ chức theo lĩnh vực của dự toán ngân sách tỉnh năm 2020 đã được HĐND tỉnh quyết định.</w:t>
      </w:r>
    </w:p>
    <w:p w14:paraId="0628E117" w14:textId="77777777" w:rsidR="00F94968" w:rsidRDefault="00895B5A">
      <w:pPr>
        <w:pStyle w:val="Heading4"/>
      </w:pPr>
      <w:bookmarkStart w:id="9" w:name="X210f0ed981954601c6af6f9023bc1eacf5b83ec"/>
      <w:r>
        <w:t>Tính thuận tiện của việc tiếp cận tài liệu ngân sách</w:t>
      </w:r>
      <w:bookmarkEnd w:id="9"/>
    </w:p>
    <w:p w14:paraId="1AA712FC" w14:textId="77777777" w:rsidR="00332D1D" w:rsidRDefault="00895B5A" w:rsidP="00332D1D">
      <w:pPr>
        <w:pStyle w:val="BodyText"/>
      </w:pPr>
      <w:r>
        <w:t>Kết quả khảo sát POBI 201</w:t>
      </w:r>
      <w:r w:rsidR="00100FB8">
        <w:t>9</w:t>
      </w:r>
      <w:r>
        <w:t xml:space="preserve"> cho thấy trên website của Sở Tài chính của hầu hết các tỉnh đều có thư mục riêng về công khai ngân sách. Trong số 63 tỉnh thành, có 61/63 tỉnh </w:t>
      </w:r>
      <w:r>
        <w:lastRenderedPageBreak/>
        <w:t>đã có thư mục công khai ngân sách trên cổng thông tin điện tử của Sở Tài chính tỉnh.</w:t>
      </w:r>
      <w:r w:rsidR="00332D1D">
        <w:t xml:space="preserve"> Hai tỉnh Đồng Tháp và Hoà Bình để không có thư mục riêng về công khai ngân sách.</w:t>
      </w:r>
    </w:p>
    <w:p w14:paraId="3A2806C2" w14:textId="48DAA05C" w:rsidR="00F94968" w:rsidRDefault="00895B5A">
      <w:pPr>
        <w:pStyle w:val="BodyText"/>
      </w:pPr>
      <w:r>
        <w:t xml:space="preserve">Đối với các tỉnh có thư mục riêng về công khai ngân sách, có 58 tỉnh phân chia cụ thể thư mục riêng về công khai ngân sách theo tài liệu hoặc theo năm và có nội dung cập nhật. Có duy nhất 1 tỉnh phân chia nội dung trong thư mục riêng về công khai ngân sách theo tài liệu hoặc theo năm nhưng không cập nhật nội dung, đó là Cà Mau. Có 2 tỉnh không phân chia cụ thể thư mục riêng về công khai ngân sách theo tài liệu hoặc theo năm nhưng vẫn có tài liệu, là Cần Thơ, và Ninh Thuận. </w:t>
      </w:r>
    </w:p>
    <w:p w14:paraId="44A72F80" w14:textId="1969CDF1" w:rsidR="00721EB0" w:rsidRDefault="00721EB0">
      <w:pPr>
        <w:pStyle w:val="BodyText"/>
      </w:pPr>
      <w:r w:rsidRPr="00A8014F">
        <w:t>Tính thuận tiện của các tài liệu được công khai trong khảo sát POBI</w:t>
      </w:r>
      <w:r w:rsidR="00563064">
        <w:t xml:space="preserve"> </w:t>
      </w:r>
      <w:r w:rsidRPr="00A8014F">
        <w:t>2019 đã được cải thiện tích cực so với POBI</w:t>
      </w:r>
      <w:r w:rsidR="00563064">
        <w:t xml:space="preserve"> </w:t>
      </w:r>
      <w:r w:rsidRPr="00A8014F">
        <w:t xml:space="preserve">2018. Tỷ lệ tài liệu công bố với định dạng file scan hoặc PDF </w:t>
      </w:r>
      <w:r w:rsidRPr="00A8014F">
        <w:rPr>
          <w:color w:val="000000" w:themeColor="text1"/>
        </w:rPr>
        <w:t xml:space="preserve">không thể chuyển đổi sang định dạng excel và world giảm từ 73.9% năm 2018 xuống còn </w:t>
      </w:r>
      <w:r w:rsidR="00A8014F" w:rsidRPr="00A8014F">
        <w:rPr>
          <w:color w:val="000000" w:themeColor="text1"/>
          <w:shd w:val="clear" w:color="auto" w:fill="FFFF00"/>
        </w:rPr>
        <w:t>62.</w:t>
      </w:r>
      <w:r w:rsidR="00C1106A">
        <w:rPr>
          <w:color w:val="000000" w:themeColor="text1"/>
          <w:shd w:val="clear" w:color="auto" w:fill="FFFF00"/>
        </w:rPr>
        <w:t>98</w:t>
      </w:r>
      <w:r w:rsidR="00A8014F" w:rsidRPr="00A8014F">
        <w:rPr>
          <w:color w:val="000000" w:themeColor="text1"/>
          <w:shd w:val="clear" w:color="auto" w:fill="FFFF00"/>
        </w:rPr>
        <w:t xml:space="preserve">% trong </w:t>
      </w:r>
      <w:r w:rsidRPr="00A8014F">
        <w:rPr>
          <w:color w:val="000000" w:themeColor="text1"/>
        </w:rPr>
        <w:t>năm 2019</w:t>
      </w:r>
      <w:r w:rsidRPr="00A8014F">
        <w:t xml:space="preserve"> (hình 1).</w:t>
      </w:r>
    </w:p>
    <w:p w14:paraId="400DC9E7" w14:textId="3B43FD27" w:rsidR="00763B51" w:rsidRDefault="00763B51" w:rsidP="00763B51">
      <w:pPr>
        <w:pStyle w:val="Caption"/>
        <w:keepNext/>
      </w:pPr>
      <w:r>
        <w:t xml:space="preserve">Hình </w:t>
      </w:r>
      <w:r w:rsidR="002E3AAA">
        <w:fldChar w:fldCharType="begin"/>
      </w:r>
      <w:r w:rsidR="002E3AAA">
        <w:instrText xml:space="preserve"> SEQ Hình \* ARABIC </w:instrText>
      </w:r>
      <w:r w:rsidR="002E3AAA">
        <w:fldChar w:fldCharType="separate"/>
      </w:r>
      <w:r w:rsidR="0067281F">
        <w:rPr>
          <w:noProof/>
        </w:rPr>
        <w:t>1</w:t>
      </w:r>
      <w:r w:rsidR="002E3AAA">
        <w:rPr>
          <w:noProof/>
        </w:rPr>
        <w:fldChar w:fldCharType="end"/>
      </w:r>
      <w:r>
        <w:t xml:space="preserve">: </w:t>
      </w:r>
      <w:r w:rsidRPr="00763B51">
        <w:rPr>
          <w:lang w:val="vi-VN"/>
        </w:rPr>
        <w:t>Định dạng của các tài liệu chấm điểm POBI được công bố</w:t>
      </w:r>
    </w:p>
    <w:p w14:paraId="0EE66853" w14:textId="23912D69" w:rsidR="007A4385" w:rsidRDefault="00FF5B13" w:rsidP="00FF5B13">
      <w:pPr>
        <w:pStyle w:val="BodyText"/>
      </w:pPr>
      <w:r>
        <w:rPr>
          <w:noProof/>
        </w:rPr>
        <w:drawing>
          <wp:inline distT="0" distB="0" distL="0" distR="0" wp14:anchorId="1C25C113" wp14:editId="247B864B">
            <wp:extent cx="5731510" cy="4203065"/>
            <wp:effectExtent l="0" t="0" r="2540" b="6985"/>
            <wp:docPr id="1"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705502F" w14:textId="5B6A42D5" w:rsidR="007A4385" w:rsidRPr="002A57FE" w:rsidRDefault="002A57FE" w:rsidP="002A57FE">
      <w:pPr>
        <w:pStyle w:val="FigureNotation"/>
        <w:rPr>
          <w:color w:val="auto"/>
        </w:rPr>
      </w:pPr>
      <w:r w:rsidRPr="00584C16">
        <w:rPr>
          <w:color w:val="auto"/>
        </w:rPr>
        <w:t>Nguồn: Kết quả khảo sát POBI 2019</w:t>
      </w:r>
    </w:p>
    <w:p w14:paraId="5F118B4F" w14:textId="3837ABF2" w:rsidR="00F94968" w:rsidRDefault="00895B5A">
      <w:pPr>
        <w:pStyle w:val="BodyText"/>
      </w:pPr>
      <w:r>
        <w:t>Trong số các loại tài liệu có tính điểm, Các báo cáo Tình hình Thực hiện dự thảo ngân sách quý 1, 6 tháng, 9 tháng và cả năm 2019 là các tài liệu được nhiều tỉnh công bố dưới dạng Microsoft Word/Excel nhất (lần lượt là 3</w:t>
      </w:r>
      <w:r w:rsidR="00580A41">
        <w:t>7</w:t>
      </w:r>
      <w:r>
        <w:t>, 3</w:t>
      </w:r>
      <w:r w:rsidR="00580A41">
        <w:t>9</w:t>
      </w:r>
      <w:r>
        <w:t>, 38 và 3</w:t>
      </w:r>
      <w:r w:rsidR="004705F3">
        <w:t>9</w:t>
      </w:r>
      <w:r>
        <w:t xml:space="preserve"> tỉnh), tiếp theo đó là các </w:t>
      </w:r>
      <w:r>
        <w:lastRenderedPageBreak/>
        <w:t>tài liệu về Dự thảo dự toán ngân sách tỉnh năm 2019 trình HĐND tỉnh và Dự toán ngân sách tỉnh năm 2019 đã được HĐND tỉnh phê duyệt (3</w:t>
      </w:r>
      <w:r w:rsidR="005E7627">
        <w:t>4</w:t>
      </w:r>
      <w:r>
        <w:t xml:space="preserve"> tỉnh).</w:t>
      </w:r>
    </w:p>
    <w:p w14:paraId="3F1A3216" w14:textId="77777777" w:rsidR="00F94968" w:rsidRDefault="00895B5A">
      <w:pPr>
        <w:pStyle w:val="Heading4"/>
      </w:pPr>
      <w:bookmarkStart w:id="10" w:name="X83faea070ec34d4b01db08ecbd431206917362a"/>
      <w:r>
        <w:t>Tính đáng tin cậy của các tài liệu ngân sách</w:t>
      </w:r>
      <w:bookmarkEnd w:id="10"/>
    </w:p>
    <w:p w14:paraId="6B004E68" w14:textId="085781B3" w:rsidR="00F94968" w:rsidRDefault="00895B5A">
      <w:pPr>
        <w:pStyle w:val="FirstParagraph"/>
      </w:pPr>
      <w:r>
        <w:t xml:space="preserve">Khảo sát POBI 2019 lần đầu tiên chấm điểm về độ tin cậy của </w:t>
      </w:r>
      <w:r w:rsidR="00F20D9C">
        <w:t>lập dự toán ngân sách khi</w:t>
      </w:r>
      <w:r>
        <w:t xml:space="preserve"> so sánh với báo cáo quyết toán tương ứng. Đối với POBI 2019, nhóm nghiên cứu so sánh mức độ chênh lệch giữa số dự toán và quyết toán năm 2018 đối với các khoản mục (i) Quyết toán thu ngân sách địa phương được hưởng theo phân cấp của tỉnh (ii) Quyết toán chi cân đối ngân sách địa phương (iii) Quyết toán Chi đầu tư phát triển; và (iv) Quyết toán Chi thường xuyên.</w:t>
      </w:r>
    </w:p>
    <w:p w14:paraId="05CCD283" w14:textId="77060705" w:rsidR="00F94968" w:rsidRDefault="00895B5A">
      <w:pPr>
        <w:pStyle w:val="BodyText"/>
      </w:pPr>
      <w:r>
        <w:t xml:space="preserve">Kết quả khảo sát POBI 2019 cho thấy </w:t>
      </w:r>
      <w:r w:rsidR="00F20D9C">
        <w:t xml:space="preserve">việc lập dự toán ngân sách của các tỉnh </w:t>
      </w:r>
      <w:r w:rsidR="00A70966">
        <w:t>năm 201</w:t>
      </w:r>
      <w:r w:rsidR="00D828CA">
        <w:t>9</w:t>
      </w:r>
      <w:r w:rsidR="00A70966">
        <w:t xml:space="preserve"> </w:t>
      </w:r>
      <w:r w:rsidR="00F20D9C">
        <w:t xml:space="preserve">chưa đảm bảo tin cậy cho quá trình thực hiện thực </w:t>
      </w:r>
      <w:r w:rsidR="00F20D9C" w:rsidRPr="003B43C0">
        <w:t>tế</w:t>
      </w:r>
      <w:r w:rsidR="00100C67" w:rsidRPr="003B43C0">
        <w:rPr>
          <w:shd w:val="clear" w:color="auto" w:fill="FFFF00"/>
        </w:rPr>
        <w:t>.</w:t>
      </w:r>
      <w:r w:rsidR="00A70966">
        <w:t xml:space="preserve"> Q</w:t>
      </w:r>
      <w:r>
        <w:t>uyết toán thu ngân sách địa phương</w:t>
      </w:r>
      <w:r w:rsidR="00A70966">
        <w:t xml:space="preserve"> của 10 tỉnh, </w:t>
      </w:r>
      <w:r>
        <w:t>Quyết toán chi cân đối ngân sách địa phương</w:t>
      </w:r>
      <w:r w:rsidR="00A70966">
        <w:t xml:space="preserve"> của 16 tỉnh </w:t>
      </w:r>
      <w:r>
        <w:t xml:space="preserve">và </w:t>
      </w:r>
      <w:r w:rsidR="00A70966">
        <w:t xml:space="preserve">quyết toán </w:t>
      </w:r>
      <w:r>
        <w:t>chi đầu tư và phát triển</w:t>
      </w:r>
      <w:r w:rsidR="00A70966">
        <w:t xml:space="preserve"> của 8 tỉnh Trong 56 tỉnh có công khai báo cáo quyết toán ngân sách tỉnh năm 2018 có mức chênh lệch dưới 5% so với dự toán ngân sách năm 2018 đã được HĐND tỉnh quyết định</w:t>
      </w:r>
      <w:r w:rsidR="00332D1D">
        <w:t xml:space="preserve"> (Xem Bảng 4).</w:t>
      </w:r>
    </w:p>
    <w:p w14:paraId="360EE09B" w14:textId="1305613E" w:rsidR="007B2FE8" w:rsidRDefault="007B2FE8" w:rsidP="007B2FE8">
      <w:pPr>
        <w:pStyle w:val="Caption"/>
        <w:keepNext/>
      </w:pPr>
      <w:r>
        <w:t xml:space="preserve">Bảng </w:t>
      </w:r>
      <w:r w:rsidR="002E3AAA">
        <w:fldChar w:fldCharType="begin"/>
      </w:r>
      <w:r w:rsidR="002E3AAA">
        <w:instrText xml:space="preserve"> SEQ Bảng \* ARABIC </w:instrText>
      </w:r>
      <w:r w:rsidR="002E3AAA">
        <w:fldChar w:fldCharType="separate"/>
      </w:r>
      <w:r w:rsidR="0067281F">
        <w:rPr>
          <w:noProof/>
        </w:rPr>
        <w:t>4</w:t>
      </w:r>
      <w:r w:rsidR="002E3AAA">
        <w:rPr>
          <w:noProof/>
        </w:rPr>
        <w:fldChar w:fldCharType="end"/>
      </w:r>
      <w:r>
        <w:t>: Chênh lệch giữa số dự toán và quyết toán NS 2018</w:t>
      </w:r>
    </w:p>
    <w:tbl>
      <w:tblPr>
        <w:tblStyle w:val="TableGrid"/>
        <w:tblW w:w="8815" w:type="dxa"/>
        <w:jc w:val="center"/>
        <w:tblLook w:val="04A0" w:firstRow="1" w:lastRow="0" w:firstColumn="1" w:lastColumn="0" w:noHBand="0" w:noVBand="1"/>
      </w:tblPr>
      <w:tblGrid>
        <w:gridCol w:w="2515"/>
        <w:gridCol w:w="1530"/>
        <w:gridCol w:w="1620"/>
        <w:gridCol w:w="1530"/>
        <w:gridCol w:w="1620"/>
      </w:tblGrid>
      <w:tr w:rsidR="004364AB" w:rsidRPr="004364AB" w14:paraId="4624AD29" w14:textId="77777777" w:rsidTr="00887EA6">
        <w:trPr>
          <w:trHeight w:val="288"/>
          <w:jc w:val="center"/>
        </w:trPr>
        <w:tc>
          <w:tcPr>
            <w:tcW w:w="2515" w:type="dxa"/>
            <w:vMerge w:val="restart"/>
            <w:shd w:val="clear" w:color="auto" w:fill="4472C4" w:themeFill="accent1"/>
            <w:noWrap/>
            <w:hideMark/>
          </w:tcPr>
          <w:p w14:paraId="6C36CEEC" w14:textId="42FC3785" w:rsidR="004364AB" w:rsidRPr="004364AB" w:rsidRDefault="007B2FE8" w:rsidP="004364AB">
            <w:pPr>
              <w:pStyle w:val="BodyText"/>
              <w:jc w:val="center"/>
              <w:rPr>
                <w:b/>
                <w:bCs/>
                <w:color w:val="FFFFFF" w:themeColor="background1"/>
              </w:rPr>
            </w:pPr>
            <w:r>
              <w:rPr>
                <w:b/>
                <w:bCs/>
                <w:color w:val="FFFFFF" w:themeColor="background1"/>
              </w:rPr>
              <w:t>Nội dung</w:t>
            </w:r>
          </w:p>
        </w:tc>
        <w:tc>
          <w:tcPr>
            <w:tcW w:w="6300" w:type="dxa"/>
            <w:gridSpan w:val="4"/>
            <w:shd w:val="clear" w:color="auto" w:fill="4472C4" w:themeFill="accent1"/>
            <w:noWrap/>
            <w:hideMark/>
          </w:tcPr>
          <w:p w14:paraId="0DAD2302" w14:textId="77777777" w:rsidR="004364AB" w:rsidRPr="004364AB" w:rsidRDefault="004364AB" w:rsidP="004364AB">
            <w:pPr>
              <w:pStyle w:val="BodyText"/>
              <w:jc w:val="center"/>
              <w:rPr>
                <w:b/>
                <w:bCs/>
                <w:color w:val="FFFFFF" w:themeColor="background1"/>
              </w:rPr>
            </w:pPr>
            <w:r w:rsidRPr="004364AB">
              <w:rPr>
                <w:b/>
                <w:bCs/>
                <w:color w:val="FFFFFF" w:themeColor="background1"/>
              </w:rPr>
              <w:t>Chênh lệch</w:t>
            </w:r>
          </w:p>
        </w:tc>
      </w:tr>
      <w:tr w:rsidR="004364AB" w:rsidRPr="004364AB" w14:paraId="67F76B68" w14:textId="77777777" w:rsidTr="00887EA6">
        <w:trPr>
          <w:trHeight w:val="288"/>
          <w:jc w:val="center"/>
        </w:trPr>
        <w:tc>
          <w:tcPr>
            <w:tcW w:w="2515" w:type="dxa"/>
            <w:vMerge/>
            <w:shd w:val="clear" w:color="auto" w:fill="4472C4" w:themeFill="accent1"/>
            <w:hideMark/>
          </w:tcPr>
          <w:p w14:paraId="0813E8E5" w14:textId="77777777" w:rsidR="004364AB" w:rsidRPr="004364AB" w:rsidRDefault="004364AB" w:rsidP="004364AB">
            <w:pPr>
              <w:pStyle w:val="BodyText"/>
            </w:pPr>
          </w:p>
        </w:tc>
        <w:tc>
          <w:tcPr>
            <w:tcW w:w="1530" w:type="dxa"/>
            <w:shd w:val="clear" w:color="auto" w:fill="4472C4" w:themeFill="accent1"/>
            <w:noWrap/>
            <w:hideMark/>
          </w:tcPr>
          <w:p w14:paraId="7EDA5B59" w14:textId="41A2BBF3" w:rsidR="004364AB" w:rsidRPr="004364AB" w:rsidRDefault="004364AB" w:rsidP="004364AB">
            <w:pPr>
              <w:pStyle w:val="BodyText"/>
              <w:rPr>
                <w:color w:val="FFFFFF" w:themeColor="background1"/>
              </w:rPr>
            </w:pPr>
            <w:r w:rsidRPr="004364AB">
              <w:rPr>
                <w:color w:val="FFFFFF" w:themeColor="background1"/>
              </w:rPr>
              <w:t>Dưới 5%</w:t>
            </w:r>
          </w:p>
        </w:tc>
        <w:tc>
          <w:tcPr>
            <w:tcW w:w="1620" w:type="dxa"/>
            <w:shd w:val="clear" w:color="auto" w:fill="4472C4" w:themeFill="accent1"/>
            <w:noWrap/>
            <w:hideMark/>
          </w:tcPr>
          <w:p w14:paraId="19EF7473" w14:textId="5CA98E94" w:rsidR="004364AB" w:rsidRPr="004364AB" w:rsidRDefault="004364AB" w:rsidP="004364AB">
            <w:pPr>
              <w:pStyle w:val="BodyText"/>
              <w:rPr>
                <w:color w:val="FFFFFF" w:themeColor="background1"/>
              </w:rPr>
            </w:pPr>
            <w:r w:rsidRPr="004364AB">
              <w:rPr>
                <w:color w:val="FFFFFF" w:themeColor="background1"/>
              </w:rPr>
              <w:t>Từ 5-10%</w:t>
            </w:r>
          </w:p>
        </w:tc>
        <w:tc>
          <w:tcPr>
            <w:tcW w:w="1530" w:type="dxa"/>
            <w:shd w:val="clear" w:color="auto" w:fill="4472C4" w:themeFill="accent1"/>
            <w:noWrap/>
            <w:hideMark/>
          </w:tcPr>
          <w:p w14:paraId="125310DC" w14:textId="77777777" w:rsidR="004364AB" w:rsidRPr="004364AB" w:rsidRDefault="004364AB" w:rsidP="004364AB">
            <w:pPr>
              <w:pStyle w:val="BodyText"/>
              <w:rPr>
                <w:color w:val="FFFFFF" w:themeColor="background1"/>
              </w:rPr>
            </w:pPr>
            <w:r w:rsidRPr="004364AB">
              <w:rPr>
                <w:color w:val="FFFFFF" w:themeColor="background1"/>
              </w:rPr>
              <w:t>Từ 10-15%</w:t>
            </w:r>
          </w:p>
        </w:tc>
        <w:tc>
          <w:tcPr>
            <w:tcW w:w="1620" w:type="dxa"/>
            <w:shd w:val="clear" w:color="auto" w:fill="4472C4" w:themeFill="accent1"/>
            <w:noWrap/>
            <w:hideMark/>
          </w:tcPr>
          <w:p w14:paraId="17BA7A6D" w14:textId="77777777" w:rsidR="004364AB" w:rsidRPr="004364AB" w:rsidRDefault="004364AB" w:rsidP="004364AB">
            <w:pPr>
              <w:pStyle w:val="BodyText"/>
              <w:rPr>
                <w:color w:val="FFFFFF" w:themeColor="background1"/>
              </w:rPr>
            </w:pPr>
            <w:r w:rsidRPr="004364AB">
              <w:rPr>
                <w:color w:val="FFFFFF" w:themeColor="background1"/>
              </w:rPr>
              <w:t>Hơn 15%</w:t>
            </w:r>
          </w:p>
        </w:tc>
      </w:tr>
      <w:tr w:rsidR="002A566C" w:rsidRPr="004364AB" w14:paraId="1184FEC7" w14:textId="77777777" w:rsidTr="00887EA6">
        <w:trPr>
          <w:trHeight w:val="288"/>
          <w:jc w:val="center"/>
        </w:trPr>
        <w:tc>
          <w:tcPr>
            <w:tcW w:w="2515" w:type="dxa"/>
            <w:noWrap/>
            <w:hideMark/>
          </w:tcPr>
          <w:p w14:paraId="19E05D62" w14:textId="77777777" w:rsidR="002A566C" w:rsidRPr="004364AB" w:rsidRDefault="002A566C" w:rsidP="002A566C">
            <w:pPr>
              <w:pStyle w:val="BodyText"/>
            </w:pPr>
            <w:r w:rsidRPr="004364AB">
              <w:t>Dự toán thu ngân sách</w:t>
            </w:r>
          </w:p>
        </w:tc>
        <w:tc>
          <w:tcPr>
            <w:tcW w:w="1530" w:type="dxa"/>
            <w:noWrap/>
            <w:hideMark/>
          </w:tcPr>
          <w:p w14:paraId="4F6B41F5" w14:textId="7B43256B" w:rsidR="002A566C" w:rsidRPr="004364AB" w:rsidRDefault="002A566C" w:rsidP="002A566C">
            <w:pPr>
              <w:pStyle w:val="BodyText"/>
            </w:pPr>
            <w:r w:rsidRPr="000D350E">
              <w:t>10 (15.87%)</w:t>
            </w:r>
          </w:p>
        </w:tc>
        <w:tc>
          <w:tcPr>
            <w:tcW w:w="1620" w:type="dxa"/>
            <w:noWrap/>
            <w:hideMark/>
          </w:tcPr>
          <w:p w14:paraId="60CE272C" w14:textId="39EC71C9" w:rsidR="002A566C" w:rsidRPr="004364AB" w:rsidRDefault="002A566C" w:rsidP="002A566C">
            <w:pPr>
              <w:pStyle w:val="BodyText"/>
            </w:pPr>
            <w:r w:rsidRPr="000D350E">
              <w:t>11 (17.46%)</w:t>
            </w:r>
          </w:p>
        </w:tc>
        <w:tc>
          <w:tcPr>
            <w:tcW w:w="1530" w:type="dxa"/>
            <w:noWrap/>
            <w:hideMark/>
          </w:tcPr>
          <w:p w14:paraId="5FC1B4A6" w14:textId="348330E5" w:rsidR="002A566C" w:rsidRPr="004364AB" w:rsidRDefault="002A566C" w:rsidP="002A566C">
            <w:pPr>
              <w:pStyle w:val="BodyText"/>
            </w:pPr>
            <w:r w:rsidRPr="000D350E">
              <w:t>8 (12.7%)</w:t>
            </w:r>
          </w:p>
        </w:tc>
        <w:tc>
          <w:tcPr>
            <w:tcW w:w="1620" w:type="dxa"/>
            <w:noWrap/>
            <w:hideMark/>
          </w:tcPr>
          <w:p w14:paraId="253C3333" w14:textId="1B7E0323" w:rsidR="002A566C" w:rsidRPr="004364AB" w:rsidRDefault="00740C48" w:rsidP="002A566C">
            <w:pPr>
              <w:pStyle w:val="BodyText"/>
            </w:pPr>
            <w:r w:rsidRPr="00740C48">
              <w:t>28 (44.44 %)</w:t>
            </w:r>
          </w:p>
        </w:tc>
      </w:tr>
      <w:tr w:rsidR="002A566C" w:rsidRPr="004364AB" w14:paraId="58E0E0D5" w14:textId="77777777" w:rsidTr="00887EA6">
        <w:trPr>
          <w:trHeight w:val="288"/>
          <w:jc w:val="center"/>
        </w:trPr>
        <w:tc>
          <w:tcPr>
            <w:tcW w:w="2515" w:type="dxa"/>
            <w:noWrap/>
            <w:hideMark/>
          </w:tcPr>
          <w:p w14:paraId="362EC434" w14:textId="77777777" w:rsidR="002A566C" w:rsidRPr="004364AB" w:rsidRDefault="002A566C" w:rsidP="002A566C">
            <w:pPr>
              <w:pStyle w:val="BodyText"/>
            </w:pPr>
            <w:r w:rsidRPr="004364AB">
              <w:t>Dự toán chi cân đối ngân sách địa phương</w:t>
            </w:r>
          </w:p>
        </w:tc>
        <w:tc>
          <w:tcPr>
            <w:tcW w:w="1530" w:type="dxa"/>
            <w:noWrap/>
            <w:hideMark/>
          </w:tcPr>
          <w:p w14:paraId="3B29C34D" w14:textId="434A8BA9" w:rsidR="002A566C" w:rsidRPr="004364AB" w:rsidRDefault="002A566C" w:rsidP="002A566C">
            <w:pPr>
              <w:pStyle w:val="BodyText"/>
            </w:pPr>
            <w:r w:rsidRPr="000D350E">
              <w:t>16 (25.4%)</w:t>
            </w:r>
          </w:p>
        </w:tc>
        <w:tc>
          <w:tcPr>
            <w:tcW w:w="1620" w:type="dxa"/>
            <w:noWrap/>
            <w:hideMark/>
          </w:tcPr>
          <w:p w14:paraId="4C363498" w14:textId="5343DF28" w:rsidR="002A566C" w:rsidRPr="004364AB" w:rsidRDefault="00887EA6" w:rsidP="002A566C">
            <w:pPr>
              <w:pStyle w:val="BodyText"/>
            </w:pPr>
            <w:r w:rsidRPr="00887EA6">
              <w:t>15 (23.81 %)</w:t>
            </w:r>
          </w:p>
        </w:tc>
        <w:tc>
          <w:tcPr>
            <w:tcW w:w="1530" w:type="dxa"/>
            <w:noWrap/>
            <w:hideMark/>
          </w:tcPr>
          <w:p w14:paraId="568C79F8" w14:textId="12F2B8C2" w:rsidR="002A566C" w:rsidRPr="004364AB" w:rsidRDefault="002A566C" w:rsidP="002A566C">
            <w:pPr>
              <w:pStyle w:val="BodyText"/>
            </w:pPr>
            <w:r w:rsidRPr="000D350E">
              <w:t>11 (17.46%)</w:t>
            </w:r>
          </w:p>
        </w:tc>
        <w:tc>
          <w:tcPr>
            <w:tcW w:w="1620" w:type="dxa"/>
            <w:noWrap/>
            <w:hideMark/>
          </w:tcPr>
          <w:p w14:paraId="662FF542" w14:textId="065CD2F2" w:rsidR="002A566C" w:rsidRPr="004364AB" w:rsidRDefault="002A566C" w:rsidP="002A566C">
            <w:pPr>
              <w:pStyle w:val="BodyText"/>
            </w:pPr>
            <w:r w:rsidRPr="000D350E">
              <w:t>15 (23.81%)</w:t>
            </w:r>
          </w:p>
        </w:tc>
      </w:tr>
      <w:tr w:rsidR="002A566C" w:rsidRPr="004364AB" w14:paraId="6A3140C7" w14:textId="77777777" w:rsidTr="00887EA6">
        <w:trPr>
          <w:trHeight w:val="288"/>
          <w:jc w:val="center"/>
        </w:trPr>
        <w:tc>
          <w:tcPr>
            <w:tcW w:w="2515" w:type="dxa"/>
            <w:noWrap/>
            <w:hideMark/>
          </w:tcPr>
          <w:p w14:paraId="461E2EE2" w14:textId="77777777" w:rsidR="002A566C" w:rsidRPr="004364AB" w:rsidRDefault="002A566C" w:rsidP="002A566C">
            <w:pPr>
              <w:pStyle w:val="BodyText"/>
            </w:pPr>
            <w:r w:rsidRPr="004364AB">
              <w:t>Dự toán chi đầu tư phát triển</w:t>
            </w:r>
          </w:p>
        </w:tc>
        <w:tc>
          <w:tcPr>
            <w:tcW w:w="1530" w:type="dxa"/>
            <w:noWrap/>
            <w:hideMark/>
          </w:tcPr>
          <w:p w14:paraId="0EF97656" w14:textId="765A7566" w:rsidR="002A566C" w:rsidRPr="004364AB" w:rsidRDefault="002A566C" w:rsidP="002A566C">
            <w:pPr>
              <w:pStyle w:val="BodyText"/>
            </w:pPr>
            <w:r w:rsidRPr="000D350E">
              <w:t>8 (12.7%)</w:t>
            </w:r>
          </w:p>
        </w:tc>
        <w:tc>
          <w:tcPr>
            <w:tcW w:w="1620" w:type="dxa"/>
            <w:noWrap/>
            <w:hideMark/>
          </w:tcPr>
          <w:p w14:paraId="133D79BE" w14:textId="27E1F46B" w:rsidR="002A566C" w:rsidRPr="004364AB" w:rsidRDefault="002A566C" w:rsidP="002A566C">
            <w:pPr>
              <w:pStyle w:val="BodyText"/>
            </w:pPr>
            <w:r w:rsidRPr="000D350E">
              <w:t>3 (4.76%)</w:t>
            </w:r>
          </w:p>
        </w:tc>
        <w:tc>
          <w:tcPr>
            <w:tcW w:w="1530" w:type="dxa"/>
            <w:noWrap/>
            <w:hideMark/>
          </w:tcPr>
          <w:p w14:paraId="38741FDA" w14:textId="67BC93F5" w:rsidR="002A566C" w:rsidRPr="004364AB" w:rsidRDefault="002A566C" w:rsidP="002A566C">
            <w:pPr>
              <w:pStyle w:val="BodyText"/>
            </w:pPr>
            <w:r w:rsidRPr="000D350E">
              <w:t>4 (6.35%)</w:t>
            </w:r>
          </w:p>
        </w:tc>
        <w:tc>
          <w:tcPr>
            <w:tcW w:w="1620" w:type="dxa"/>
            <w:noWrap/>
            <w:hideMark/>
          </w:tcPr>
          <w:p w14:paraId="59F6C004" w14:textId="724D0E79" w:rsidR="002A566C" w:rsidRPr="004364AB" w:rsidRDefault="00863274" w:rsidP="002A566C">
            <w:pPr>
              <w:pStyle w:val="BodyText"/>
            </w:pPr>
            <w:r w:rsidRPr="00863274">
              <w:t>42 (66.67 %)</w:t>
            </w:r>
          </w:p>
        </w:tc>
      </w:tr>
      <w:tr w:rsidR="002A566C" w:rsidRPr="004364AB" w14:paraId="7C286692" w14:textId="77777777" w:rsidTr="00887EA6">
        <w:trPr>
          <w:trHeight w:val="288"/>
          <w:jc w:val="center"/>
        </w:trPr>
        <w:tc>
          <w:tcPr>
            <w:tcW w:w="2515" w:type="dxa"/>
            <w:noWrap/>
            <w:hideMark/>
          </w:tcPr>
          <w:p w14:paraId="7E8EFEA3" w14:textId="77777777" w:rsidR="002A566C" w:rsidRPr="004364AB" w:rsidRDefault="002A566C" w:rsidP="002A566C">
            <w:pPr>
              <w:pStyle w:val="BodyText"/>
            </w:pPr>
            <w:r w:rsidRPr="004364AB">
              <w:t>Dự toán chi thường xuyên</w:t>
            </w:r>
          </w:p>
        </w:tc>
        <w:tc>
          <w:tcPr>
            <w:tcW w:w="1530" w:type="dxa"/>
            <w:noWrap/>
            <w:hideMark/>
          </w:tcPr>
          <w:p w14:paraId="4ECBA614" w14:textId="440105E6" w:rsidR="002A566C" w:rsidRPr="004364AB" w:rsidRDefault="002A566C" w:rsidP="002A566C">
            <w:pPr>
              <w:pStyle w:val="BodyText"/>
            </w:pPr>
            <w:r w:rsidRPr="000D350E">
              <w:t>29 (46.03%)</w:t>
            </w:r>
          </w:p>
        </w:tc>
        <w:tc>
          <w:tcPr>
            <w:tcW w:w="1620" w:type="dxa"/>
            <w:noWrap/>
            <w:hideMark/>
          </w:tcPr>
          <w:p w14:paraId="75AF38A3" w14:textId="1A684A95" w:rsidR="002A566C" w:rsidRPr="004364AB" w:rsidRDefault="00863274" w:rsidP="002A566C">
            <w:pPr>
              <w:pStyle w:val="BodyText"/>
            </w:pPr>
            <w:r w:rsidRPr="00863274">
              <w:t>20 (31.75 %)</w:t>
            </w:r>
          </w:p>
        </w:tc>
        <w:tc>
          <w:tcPr>
            <w:tcW w:w="1530" w:type="dxa"/>
            <w:noWrap/>
            <w:hideMark/>
          </w:tcPr>
          <w:p w14:paraId="5E1CAA37" w14:textId="5D071175" w:rsidR="002A566C" w:rsidRPr="004364AB" w:rsidRDefault="00863274" w:rsidP="002A566C">
            <w:pPr>
              <w:pStyle w:val="BodyText"/>
            </w:pPr>
            <w:r w:rsidRPr="00863274">
              <w:t>2 (3.17 %)</w:t>
            </w:r>
          </w:p>
        </w:tc>
        <w:tc>
          <w:tcPr>
            <w:tcW w:w="1620" w:type="dxa"/>
            <w:noWrap/>
            <w:hideMark/>
          </w:tcPr>
          <w:p w14:paraId="0CBAFA7E" w14:textId="4068D82D" w:rsidR="002A566C" w:rsidRPr="004364AB" w:rsidRDefault="00863274" w:rsidP="002A566C">
            <w:pPr>
              <w:pStyle w:val="BodyText"/>
            </w:pPr>
            <w:r w:rsidRPr="00863274">
              <w:t>6 (9.52 %)</w:t>
            </w:r>
          </w:p>
        </w:tc>
      </w:tr>
    </w:tbl>
    <w:p w14:paraId="189BC38D" w14:textId="77777777" w:rsidR="002A57FE" w:rsidRPr="002A57FE" w:rsidRDefault="002A57FE" w:rsidP="002A57FE">
      <w:pPr>
        <w:pStyle w:val="FigureNotation"/>
        <w:rPr>
          <w:color w:val="auto"/>
        </w:rPr>
      </w:pPr>
      <w:r w:rsidRPr="00584C16">
        <w:rPr>
          <w:color w:val="auto"/>
        </w:rPr>
        <w:t>Nguồn: Kết quả khảo sát POBI 2019</w:t>
      </w:r>
    </w:p>
    <w:p w14:paraId="1235F28E" w14:textId="77777777" w:rsidR="004364AB" w:rsidRDefault="004364AB">
      <w:pPr>
        <w:pStyle w:val="BodyText"/>
      </w:pPr>
    </w:p>
    <w:p w14:paraId="1DB4A044" w14:textId="77777777" w:rsidR="00F94968" w:rsidRDefault="00895B5A">
      <w:pPr>
        <w:pStyle w:val="Heading4"/>
      </w:pPr>
      <w:bookmarkStart w:id="11" w:name="X9205bb051be01cad0315601e31495b28338f7e2"/>
      <w:r>
        <w:lastRenderedPageBreak/>
        <w:t>Các tài liệu ngân sách khuyến khích công bố và không tính điểm</w:t>
      </w:r>
      <w:bookmarkEnd w:id="11"/>
    </w:p>
    <w:p w14:paraId="35751EC8" w14:textId="77777777" w:rsidR="00F94968" w:rsidRDefault="00895B5A">
      <w:pPr>
        <w:pStyle w:val="FirstParagraph"/>
      </w:pPr>
      <w:r>
        <w:t>Có 2 tài liệu ngân sách không tính điểm trong trụ cột này gồm có: (i) Hướng dẫn xây dựng dự toán ngân sách cấp tỉnh năm 2020; và (ii) Kết quả kiểm toán ngân sách nhà nước, kết quả thực hiện các kiến nghị của Kiểm toán nhà nước năm 2017 hoặc 2018.</w:t>
      </w:r>
    </w:p>
    <w:p w14:paraId="692A9C78" w14:textId="77777777" w:rsidR="00F94968" w:rsidRDefault="00895B5A">
      <w:pPr>
        <w:pStyle w:val="BodyText"/>
      </w:pPr>
      <w:r>
        <w:t>Tổng điểm cho các tài liệu khuyến khích công khai trong POBI 2018 là 200 điểm. Thanh Hóa, Vĩnh Long, Bà Rịa - Vũng Tàu, Quảng Ngãi, Lào Cai và Quảng Bình là các tỉnh đứng đầu danh sách các tỉnh công khai các loại tài liệu khuyến khích với điểm số tối đa.</w:t>
      </w:r>
    </w:p>
    <w:p w14:paraId="22C1A22E" w14:textId="77777777" w:rsidR="00F94968" w:rsidRDefault="00895B5A">
      <w:pPr>
        <w:pStyle w:val="BodyText"/>
      </w:pPr>
      <w:r>
        <w:t>Trong các tài liệu không tính điểm POBI, loại tài liệu được các tỉnh công khai nhiều nhất là Hướng dẫn xây dựng dự toán ngân sách năm 2020 của tỉnh với 33 tỉnh có công bố.</w:t>
      </w:r>
    </w:p>
    <w:p w14:paraId="7977787A" w14:textId="77777777" w:rsidR="00F94968" w:rsidRDefault="00895B5A">
      <w:pPr>
        <w:pStyle w:val="BodyText"/>
      </w:pPr>
      <w:r>
        <w:t>Chỉ có 7 tỉnh công bố Kết quả kiểm toán ngân sách tỉnh, kết quả thực hiện kiến nghị của Kiểm toán nhà nước các năm 2017 và 2018, bao gồm: Hà Nam, Lào Cai, Quảng Ngãi, Vĩnh Long, Quảng Bình, Bà Rịa - Vũng Tàu, và Thanh Hóa. Theo Luật Kiểm toán nhà nước thì các đợn vị bị kiểm toán (tỉnh) không có trách nhiệm công khai báo cáo kiểm toán và báo cáo tình hình thực hiện kết luận của kiểm toán, tuy nhiên theo như thông lệ tốt của quốc tế thì các tỉnh cần phải công khai tài liệu này.</w:t>
      </w:r>
    </w:p>
    <w:p w14:paraId="7755E23E" w14:textId="77777777" w:rsidR="00F94968" w:rsidRDefault="00895B5A">
      <w:pPr>
        <w:pStyle w:val="Heading3"/>
      </w:pPr>
      <w:bookmarkStart w:id="12" w:name="về-sự-tham-gia-của-người-dân"/>
      <w:r>
        <w:t>Về sự tham gia của người dân</w:t>
      </w:r>
      <w:bookmarkEnd w:id="12"/>
    </w:p>
    <w:p w14:paraId="5D4A441F" w14:textId="6861F955" w:rsidR="00CE201D" w:rsidRDefault="00895B5A">
      <w:pPr>
        <w:pStyle w:val="FirstParagraph"/>
      </w:pPr>
      <w:bookmarkStart w:id="13" w:name="_Hlk44945351"/>
      <w:r>
        <w:t xml:space="preserve">Kết quả khảo sát POBI 2019 về mức độ tham gia của người dân cho thấy nhìn chung các tỉnh ÍT tạo điều kiện để người dân tham gia vào </w:t>
      </w:r>
      <w:r w:rsidR="00CE201D">
        <w:t>quy trình ngân sách</w:t>
      </w:r>
      <w:r>
        <w:t>. Số điểm quy đổi trung bình của 63 tỉnh thành phố là 3</w:t>
      </w:r>
      <w:r w:rsidR="00792CD2">
        <w:t>8</w:t>
      </w:r>
      <w:r>
        <w:t>.</w:t>
      </w:r>
      <w:r w:rsidR="00792CD2">
        <w:t>01</w:t>
      </w:r>
      <w:r>
        <w:t xml:space="preserve"> điểm. Tỉnh Vĩnh Long đạt điểm số cao nhất với 90 điểm. Phú Yên và Thái Bình là 2 tỉnh có số điểm bằng nhau và là các tỉnh có số điểm thấp nhất cả nước (10 điểm).</w:t>
      </w:r>
    </w:p>
    <w:bookmarkEnd w:id="13"/>
    <w:p w14:paraId="34D56387" w14:textId="0C3FF1F9" w:rsidR="00F94968" w:rsidRDefault="00B40305">
      <w:pPr>
        <w:pStyle w:val="FirstParagraph"/>
      </w:pPr>
      <w:r>
        <w:t>Có rất ít tỉnh phản hồi các câu hỏi yêu cầu cung cấp thông tin của nhóm nghiên cứu gửi qua email liên hệ được công khai trên cổng tin điện tử của Sở tài chính. ó 8 trong số 63 tỉnh thành phản hồi qua email liên hệ, bao gồm: Bến Tre, Cao Bằng, Hà Giang, Quảng Nam, Thừa Thiên Huế, Hải Phòng, TP. Hồ Chí Minh, và Vĩnh Long. Trong số các phản hồi nhóm nghiên cứu nhận được từ email liên hệ, có 1 phản hồi được nhận trong vòng 15 ngày kể từ ngày gửi và 5 phản hồi được nhận trong vòng 16 đến 30 ngày kể từ ngày gửi</w:t>
      </w:r>
      <w:r w:rsidR="00C01286">
        <w:t>.</w:t>
      </w:r>
    </w:p>
    <w:p w14:paraId="3B4A3604" w14:textId="7554616E" w:rsidR="000C59A3" w:rsidRDefault="000C59A3">
      <w:pPr>
        <w:pStyle w:val="FirstParagraph"/>
      </w:pPr>
      <w:r>
        <w:t xml:space="preserve">POBI 2019 cũng tiến hành chấm điểm đối với các tài liệu phục vụ kỳ họp HĐND trên trang các cổng thông tin điện tử của tỉnh. Trong số các tài liệu thuộc nhóm này, </w:t>
      </w:r>
      <w:r w:rsidRPr="000C59A3">
        <w:rPr>
          <w:i/>
          <w:iCs/>
        </w:rPr>
        <w:t>báo cáo thẩm tra ngân sách của HĐND tỉnh</w:t>
      </w:r>
      <w:r>
        <w:t xml:space="preserve"> (bao gồm cả báo cáo thẩm tra quyết toán 2018 và </w:t>
      </w:r>
      <w:r>
        <w:lastRenderedPageBreak/>
        <w:t xml:space="preserve">dự thảo dự toán 2020) và </w:t>
      </w:r>
      <w:r w:rsidRPr="000C59A3">
        <w:rPr>
          <w:i/>
          <w:iCs/>
        </w:rPr>
        <w:t>báo cáo tổng hợp kết quả tiếp xúc cử chi của đại biểu HĐND tỉnh năm 2019</w:t>
      </w:r>
      <w:r>
        <w:rPr>
          <w:i/>
          <w:iCs/>
        </w:rPr>
        <w:t xml:space="preserve"> </w:t>
      </w:r>
      <w:r>
        <w:t xml:space="preserve">là hai tài liệu được công khai nhiều nhất với 29 tỉnh có công khai, tương đương với 46.03%. </w:t>
      </w:r>
      <w:r w:rsidRPr="000C59A3">
        <w:rPr>
          <w:i/>
          <w:iCs/>
        </w:rPr>
        <w:t>Báo cáo góp ý/báo cáo tổng hợp tiếp nhận ý kiến cử chi của MTTQ tỉnh</w:t>
      </w:r>
      <w:r>
        <w:t xml:space="preserve"> cũng có mức độ công khai tương tự với 25 tỉnh công khai, tương đương với 39.68%. Trong khi đó, chỉ có 16 tỉnh (25.4%) công khai </w:t>
      </w:r>
      <w:r w:rsidRPr="000C59A3">
        <w:rPr>
          <w:i/>
          <w:iCs/>
        </w:rPr>
        <w:t>biên bản kỳ họp/thảo luận về dự toán và phân bổ ngân sách của tỉnh năm 2020</w:t>
      </w:r>
      <w:r>
        <w:rPr>
          <w:i/>
          <w:iCs/>
        </w:rPr>
        <w:t xml:space="preserve"> </w:t>
      </w:r>
      <w:r>
        <w:t>(kỳ họp tháng 12/2019).</w:t>
      </w:r>
    </w:p>
    <w:p w14:paraId="79580762" w14:textId="453064B6" w:rsidR="00F94968" w:rsidRDefault="00AB5C9D">
      <w:pPr>
        <w:pStyle w:val="Heading3"/>
      </w:pPr>
      <w:bookmarkStart w:id="14" w:name="kết-luận-và-khuyến-nghị"/>
      <w:r>
        <w:t>K</w:t>
      </w:r>
      <w:r w:rsidR="00895B5A">
        <w:t>huyến nghị</w:t>
      </w:r>
      <w:bookmarkEnd w:id="14"/>
    </w:p>
    <w:p w14:paraId="41203689" w14:textId="204C3D4E" w:rsidR="00F94968" w:rsidRDefault="00895B5A">
      <w:pPr>
        <w:pStyle w:val="FirstParagraph"/>
      </w:pPr>
      <w:r>
        <w:t>Đây là năm thứ ba thực hiện khảo sát mức độ công khai ngân sách của các tỉnh dựa trên quy định của Luật ngân sách nhà nước năm 2015, Luật tiếp cận thông tin</w:t>
      </w:r>
      <w:r w:rsidR="006F1D68">
        <w:t>, Luật đầu tư công, Luật quản lý nợ công</w:t>
      </w:r>
      <w:r>
        <w:t xml:space="preserve"> và thông lệ tốt của quốc tế. So với kết </w:t>
      </w:r>
      <w:r w:rsidR="0073080D">
        <w:t xml:space="preserve">quả </w:t>
      </w:r>
      <w:r>
        <w:t xml:space="preserve">POBI 2018, kết quả POBI 2019 cho thấy có sự tiến bộ </w:t>
      </w:r>
      <w:r w:rsidR="006F1D68">
        <w:t xml:space="preserve">rõ rệt </w:t>
      </w:r>
      <w:r>
        <w:t xml:space="preserve">về công khai các tài liệu ngân sách ở các địa phương. Điểm POBI trung bình tăng từ 30.5 điểm năm 2017 lên 51 điểm năm 2018 và </w:t>
      </w:r>
      <w:r w:rsidR="009D0776">
        <w:t>65.55</w:t>
      </w:r>
      <w:r>
        <w:t xml:space="preserve"> điểm ở POBI 2019. Có tới 24 tỉnh công khai ĐẦY ĐỦ trong năm 2019 trong khi năm 2017 không có tỉnh nào đạt mức độ này. Các tỉnh, thành phố hoàn toàn có khả năng tiếp tục cải thiện được mức độ công khai ngân sách nếu chủ động thực hiện công khai đúng thời hạn và đầy đủ theo như quy định. Một số các điểm khuyến nghị chính từ kết quả POBI 2019 như sau</w:t>
      </w:r>
      <w:r w:rsidR="006F1D68">
        <w:t>.</w:t>
      </w:r>
    </w:p>
    <w:p w14:paraId="0BD8EA08" w14:textId="77777777" w:rsidR="00F94968" w:rsidRDefault="00895B5A">
      <w:pPr>
        <w:pStyle w:val="Heading4"/>
      </w:pPr>
      <w:bookmarkStart w:id="15" w:name="về-tính-sẵn-có"/>
      <w:r>
        <w:t>Về tính sẵn có</w:t>
      </w:r>
      <w:bookmarkEnd w:id="15"/>
    </w:p>
    <w:p w14:paraId="647B1069" w14:textId="52EA3505" w:rsidR="00056944" w:rsidRDefault="00056944">
      <w:pPr>
        <w:pStyle w:val="BodyText"/>
      </w:pPr>
      <w:r>
        <w:t xml:space="preserve">Kết quả khảo sát POBI 2019 cho thấy các tỉnh đã </w:t>
      </w:r>
      <w:r w:rsidR="00D3014D">
        <w:t xml:space="preserve">công khai tương đối đầy đủ </w:t>
      </w:r>
      <w:r>
        <w:t>các tài liệu bắt buộc phải công khai theo quy định của Luật N</w:t>
      </w:r>
      <w:r w:rsidR="00C573E0">
        <w:t>SNN</w:t>
      </w:r>
      <w:r>
        <w:t xml:space="preserve"> 2015. </w:t>
      </w:r>
      <w:r w:rsidR="00D3014D">
        <w:t xml:space="preserve">Các tỉnh cần công khai đầy đủ cả các tài liệu không bắt buộc công khai </w:t>
      </w:r>
      <w:r w:rsidR="00C573E0">
        <w:t xml:space="preserve">theo như Luật NSNN 2015 </w:t>
      </w:r>
      <w:r w:rsidR="00D3014D">
        <w:t>là Báo cáo ngân sách nhà nước dành cho công dân và Báo cáo tình hình nợ công của tỉnh.</w:t>
      </w:r>
    </w:p>
    <w:p w14:paraId="15F3E360" w14:textId="77777777" w:rsidR="00F94968" w:rsidRDefault="00895B5A">
      <w:pPr>
        <w:pStyle w:val="Heading4"/>
      </w:pPr>
      <w:bookmarkStart w:id="16" w:name="về-tính-kịp-thời"/>
      <w:r>
        <w:t>Về tính kịp thời</w:t>
      </w:r>
      <w:bookmarkEnd w:id="16"/>
    </w:p>
    <w:p w14:paraId="1D432BED" w14:textId="5EF09B10" w:rsidR="00233170" w:rsidRDefault="00895B5A">
      <w:pPr>
        <w:pStyle w:val="FirstParagraph"/>
      </w:pPr>
      <w:r>
        <w:t xml:space="preserve">Kết quả POBI 2019 cho thấy còn nhiều tỉnh công khai các tài liệu ngân sách chậm hơn so với quy định. </w:t>
      </w:r>
      <w:r w:rsidR="00233170">
        <w:t xml:space="preserve">Báo cáo quyết toán ngân sách tỉnh là tài liệu được công khai kịp thời nhất trong số các tài liệu khảo sát POBI2019, nhưng cũng chỉ có </w:t>
      </w:r>
      <w:r w:rsidR="00210A66" w:rsidRPr="00210A66">
        <w:t>40</w:t>
      </w:r>
      <w:r w:rsidR="00210A66">
        <w:t xml:space="preserve"> tỉnh</w:t>
      </w:r>
      <w:r w:rsidR="00210A66" w:rsidRPr="00210A66">
        <w:t xml:space="preserve"> (63.49 %)</w:t>
      </w:r>
      <w:r w:rsidR="00210A66">
        <w:t xml:space="preserve"> </w:t>
      </w:r>
      <w:r w:rsidR="00233170">
        <w:t>công khai kịp thời tài liệu này. Do vậy, các tỉnh cần thực hiện công khai các tài liệu đúng thời gian quy định tại Luật NSNN 2015 và Thông tư 343/2016/TT-BTC. Việc công khai cần ghi rõ thông tin về thời điểm công bố, công khai tài liệu trên trang web của UBND tỉnh hoặc Sở Tài chính.</w:t>
      </w:r>
    </w:p>
    <w:p w14:paraId="6445BAED" w14:textId="77777777" w:rsidR="00F94968" w:rsidRDefault="00895B5A">
      <w:pPr>
        <w:pStyle w:val="Heading4"/>
      </w:pPr>
      <w:bookmarkStart w:id="17" w:name="về-tính-đầy-đủ"/>
      <w:r>
        <w:lastRenderedPageBreak/>
        <w:t>Về tính đầy đủ</w:t>
      </w:r>
      <w:bookmarkEnd w:id="17"/>
    </w:p>
    <w:p w14:paraId="07787F9D" w14:textId="7FE20F69" w:rsidR="00F94968" w:rsidRDefault="00895B5A" w:rsidP="0009082D">
      <w:pPr>
        <w:pStyle w:val="Compact"/>
      </w:pPr>
      <w:r>
        <w:t>Quy định trong Thông tư 343/2016/TT-BTC có số bảng biểu và nội dung chi tiết cụ thể của các thông tin ngân sách cần công khai. Kết quả POBI 201</w:t>
      </w:r>
      <w:r w:rsidR="00D3014D">
        <w:t>9</w:t>
      </w:r>
      <w:r>
        <w:t xml:space="preserve"> cho thấy</w:t>
      </w:r>
      <w:r w:rsidR="003E1C1F">
        <w:t>,</w:t>
      </w:r>
      <w:r>
        <w:t xml:space="preserve"> </w:t>
      </w:r>
      <w:r w:rsidR="003E1C1F">
        <w:t xml:space="preserve">dự thảo dự toán ngân sách tỉnh trình HĐND tỉnh, dự toán ngân sách tỉnh đã được HĐND tỉnh quyết định và báo cáo tình hình thực hiện dự toán ngân sách trong năm được công khai thiếu các bảng biểu và nội dung của các bảng biểu theo như hướng dẫn của Thông tư 343/2016/TT-BTC. </w:t>
      </w:r>
      <w:r w:rsidR="00042449">
        <w:t xml:space="preserve">Do vậy, các tỉnh cần phải công khai đầy đủ các bảng biểu và nội dung của các bảng biểu theo đúng hướng dẫn của Thông tư 343/2016/TT-BTC. </w:t>
      </w:r>
    </w:p>
    <w:p w14:paraId="6E97417D" w14:textId="77777777" w:rsidR="00F94968" w:rsidRDefault="00895B5A">
      <w:pPr>
        <w:pStyle w:val="Heading4"/>
      </w:pPr>
      <w:bookmarkStart w:id="18" w:name="về-tính-thuận-tiện"/>
      <w:r>
        <w:t>Về tính thuận tiện</w:t>
      </w:r>
      <w:bookmarkEnd w:id="18"/>
    </w:p>
    <w:p w14:paraId="4C328107" w14:textId="69F9F6A2" w:rsidR="00F94968" w:rsidRDefault="00721EB0" w:rsidP="0076639C">
      <w:pPr>
        <w:pStyle w:val="FirstParagraph"/>
      </w:pPr>
      <w:r w:rsidRPr="00D810CE">
        <w:t>C</w:t>
      </w:r>
      <w:r w:rsidR="00D810CE">
        <w:t>ó tổng cộng 12</w:t>
      </w:r>
      <w:r w:rsidR="0009082D">
        <w:t>7</w:t>
      </w:r>
      <w:r w:rsidR="00D810CE">
        <w:t xml:space="preserve"> </w:t>
      </w:r>
      <w:r w:rsidRPr="00D810CE">
        <w:t>tài</w:t>
      </w:r>
      <w:r>
        <w:t xml:space="preserve"> liệu</w:t>
      </w:r>
      <w:r w:rsidR="00D810CE">
        <w:t>, tương đương với 28.</w:t>
      </w:r>
      <w:r w:rsidR="00C17B8D">
        <w:t>67</w:t>
      </w:r>
      <w:r w:rsidR="00D810CE">
        <w:t>% số tài liệu được</w:t>
      </w:r>
      <w:r>
        <w:t xml:space="preserve"> công bố với định dạng file scan hoặc PDF không thể chuyển đổi sang định dạng excel/world trong khảo sát POBI2019, do vậy các tỉnh cần công khai tất cả các tài liệu với định dạng excel/world tạo thuận tiện cho người đọc.</w:t>
      </w:r>
      <w:r w:rsidDel="00721EB0">
        <w:t xml:space="preserve"> </w:t>
      </w:r>
    </w:p>
    <w:p w14:paraId="488CD4EA" w14:textId="77777777" w:rsidR="00F94968" w:rsidRDefault="00895B5A">
      <w:pPr>
        <w:pStyle w:val="Heading4"/>
      </w:pPr>
      <w:bookmarkStart w:id="19" w:name="về-tính-tin-cậy"/>
      <w:r>
        <w:t>Về tính tin cậy</w:t>
      </w:r>
      <w:bookmarkEnd w:id="19"/>
    </w:p>
    <w:p w14:paraId="5F18EBF6" w14:textId="2B2ADB03" w:rsidR="00F94968" w:rsidRDefault="003541CC" w:rsidP="00DA23B8">
      <w:pPr>
        <w:pStyle w:val="FirstParagraph"/>
      </w:pPr>
      <w:r>
        <w:t>Kết quả POBI</w:t>
      </w:r>
      <w:r w:rsidR="00FF4F97">
        <w:t xml:space="preserve"> </w:t>
      </w:r>
      <w:r>
        <w:t xml:space="preserve">2019 cho thấy, việc lập dự toán ngân sách tỉnh chưa đủ độ tin cậy cho quá trình thực hiện dự toán. Trong đó, dự toán thu ngân sách địa phương, dự toán chi đầu tư phát triển có mức độ tin cậy thấp nhất với 15.87% và 12.7% số tỉnh có chênh lệch giữa quyết toán và dự toán năm 2018 dưới 5%. Do vậy, </w:t>
      </w:r>
      <w:r w:rsidR="00DA23B8">
        <w:t>c</w:t>
      </w:r>
      <w:r w:rsidR="00895B5A">
        <w:t>ác tỉnh cần lên kế hoạch cẩn thận và tính toán kỹ lưỡng để có được số dự thảo chính xác hơn.</w:t>
      </w:r>
    </w:p>
    <w:p w14:paraId="5A211C0D" w14:textId="77777777" w:rsidR="00F94968" w:rsidRDefault="00895B5A">
      <w:pPr>
        <w:pStyle w:val="Heading4"/>
      </w:pPr>
      <w:bookmarkStart w:id="20" w:name="về-sự-tham-gia"/>
      <w:r>
        <w:t>Về sự tham gia</w:t>
      </w:r>
      <w:bookmarkEnd w:id="20"/>
    </w:p>
    <w:p w14:paraId="433DF6D7" w14:textId="507AA67E" w:rsidR="00F94968" w:rsidRDefault="00895B5A">
      <w:pPr>
        <w:pStyle w:val="FirstParagraph"/>
      </w:pPr>
      <w:r>
        <w:t>Kết quả khảo sát POBI 2018 cho thấy, các tỉnh ÍT tạo cơ hội cho người dân tham gia vào quản lý ngân sách tại địa phương. Có 6</w:t>
      </w:r>
      <w:r w:rsidR="00DA23B8">
        <w:t>1</w:t>
      </w:r>
      <w:r>
        <w:t>/63 cổng thông tin điện tử của các tỉnh đều có thư mục hỏi đáp và email liên hệ. Tuy nhiên, mức độ phản hồi của Sở Tài chính các tỉnh đối với người dân rất thấp.</w:t>
      </w:r>
      <w:r w:rsidR="0096774E">
        <w:t xml:space="preserve"> </w:t>
      </w:r>
      <w:r w:rsidR="00C573E0">
        <w:t>Có</w:t>
      </w:r>
      <w:r>
        <w:t xml:space="preserve"> </w:t>
      </w:r>
      <w:r w:rsidR="00C573E0">
        <w:t>8</w:t>
      </w:r>
      <w:r>
        <w:t xml:space="preserve">/63 </w:t>
      </w:r>
      <w:r w:rsidR="00C573E0">
        <w:t xml:space="preserve">Sở Tài chính của các </w:t>
      </w:r>
      <w:r>
        <w:t>tỉnh trả lời yêu cầu cung cấp thông tin của nhóm nghiên cứu qua email.</w:t>
      </w:r>
    </w:p>
    <w:p w14:paraId="3B3360F6" w14:textId="77777777" w:rsidR="00F94968" w:rsidRDefault="00895B5A">
      <w:pPr>
        <w:pStyle w:val="BodyText"/>
      </w:pPr>
      <w:r>
        <w:rPr>
          <w:i/>
        </w:rPr>
        <w:t>Khuyến nghị:</w:t>
      </w:r>
    </w:p>
    <w:p w14:paraId="3D1B8274" w14:textId="764515DD" w:rsidR="00F94968" w:rsidRDefault="00895B5A" w:rsidP="00895B5A">
      <w:pPr>
        <w:pStyle w:val="Compact"/>
        <w:numPr>
          <w:ilvl w:val="0"/>
          <w:numId w:val="8"/>
        </w:numPr>
      </w:pPr>
      <w:r>
        <w:t>Các tỉnh cần chủ động trong việc phản hồi các câu hỏi của người dân về ngân sách. Xây dựng và công bố quy chế nội bộ về quy trình cung cấp thông tin theo như quy định của Luật tiếp cận thông tin.</w:t>
      </w:r>
    </w:p>
    <w:p w14:paraId="636861BF" w14:textId="77777777" w:rsidR="00F94968" w:rsidRDefault="00895B5A" w:rsidP="00895B5A">
      <w:pPr>
        <w:pStyle w:val="Compact"/>
        <w:numPr>
          <w:ilvl w:val="0"/>
          <w:numId w:val="8"/>
        </w:numPr>
      </w:pPr>
      <w:r>
        <w:t>Ngoài chuyên mục hỏi đáp và email thì các Sở Tài chính tỉnh có thể sử dụng mạng xã hội như facebook để tăng cường tương tác, trao đổi giữa người dân và Sở Tài chính/UBND tỉnh.</w:t>
      </w:r>
    </w:p>
    <w:p w14:paraId="367AD2C6" w14:textId="1E6E559B" w:rsidR="00F94968" w:rsidRDefault="00C6098C">
      <w:pPr>
        <w:pStyle w:val="Heading1"/>
      </w:pPr>
      <w:bookmarkStart w:id="21" w:name="X2a61c7c2b4a80c5d9e39c14b729622ccd784f36"/>
      <w:r>
        <w:lastRenderedPageBreak/>
        <w:t>Phần 2</w:t>
      </w:r>
      <w:r>
        <w:br/>
      </w:r>
      <w:r w:rsidR="00895B5A">
        <w:t>Kết quả công khai ngân sách tỉnh POBI 2019</w:t>
      </w:r>
      <w:bookmarkEnd w:id="21"/>
    </w:p>
    <w:p w14:paraId="20F4CF79" w14:textId="5345CF75" w:rsidR="00F94968" w:rsidRDefault="00C6098C">
      <w:pPr>
        <w:pStyle w:val="Heading2"/>
      </w:pPr>
      <w:bookmarkStart w:id="22" w:name="xếp-hạng-chỉ-số-công-khai-ngân-sách-tỉnh"/>
      <w:r>
        <w:lastRenderedPageBreak/>
        <w:t xml:space="preserve">Chương I: </w:t>
      </w:r>
      <w:r w:rsidR="00895B5A">
        <w:t>Xếp hạng chỉ số công khai ngân sách tỉnh</w:t>
      </w:r>
      <w:bookmarkEnd w:id="22"/>
    </w:p>
    <w:p w14:paraId="6AC80AC1" w14:textId="77777777" w:rsidR="00F94968" w:rsidRDefault="00895B5A">
      <w:pPr>
        <w:pStyle w:val="FirstParagraph"/>
      </w:pPr>
      <w:r>
        <w:t>Chương này sẽ trình bày tổng hợp kết quả khảo sát POBI 2019 theo xếp hạng từ số điểm đạt được của các tỉnh. Các xếp hạng theo nhóm xếp hạng, theo vùng địa lý, theo tỉnh. Nội dung này sẽ cung cấp bức tranh chung về thực trạng công khai ngân sách của 63 tỉnh, thành phố của Việt Nam trong năm 2019.</w:t>
      </w:r>
    </w:p>
    <w:p w14:paraId="2B74F1B7" w14:textId="3D4ACEF2" w:rsidR="00F94968" w:rsidRDefault="00895B5A">
      <w:pPr>
        <w:pStyle w:val="FirstParagraph"/>
      </w:pPr>
      <w:r>
        <w:t xml:space="preserve">Kết quả khảo sát POBI 2019 cho thấy chỉ số trung bình về công khai ngân sách tỉnh đạt </w:t>
      </w:r>
      <w:r w:rsidR="009D0776">
        <w:t>65.55</w:t>
      </w:r>
      <w:r>
        <w:t xml:space="preserve"> điểm trên tổng số 100 điểm quy đổi xếp hạng cao hơn với điểm trung bình xếp hạng của POBI 2018 là 51 điểm. Điều này cho thấy mức độ tiến bộ chung của các tỉnh về công khai minh bạch ngân sách.</w:t>
      </w:r>
    </w:p>
    <w:p w14:paraId="4069B3ED" w14:textId="5364C196" w:rsidR="00F94968" w:rsidRDefault="00895B5A">
      <w:pPr>
        <w:pStyle w:val="BodyText"/>
      </w:pPr>
      <w:r>
        <w:t>Nhóm A – công khai ĐẦY ĐỦ, nhóm những tỉnh có mức điểm cao nhất từ 75 – 100 điểm, có 24 tỉnh bao gồm: Bình Thuận, Lâm Đồng, Bắc Ninh, Hà Nam, Bắc Kạn, An Giang, Ninh Thuận, Hà Nội, Lai Châu, Khánh Hòa, Quảng Ninh, Bình Dương, Cao Bằng, Quảng Trị, Trà Vinh, Yên Bái,</w:t>
      </w:r>
      <w:r w:rsidR="0073080D">
        <w:t xml:space="preserve"> </w:t>
      </w:r>
      <w:r>
        <w:t>Tây Ninh,</w:t>
      </w:r>
      <w:r w:rsidR="0073080D">
        <w:t xml:space="preserve"> </w:t>
      </w:r>
      <w:r>
        <w:t>Bình Định,</w:t>
      </w:r>
      <w:r w:rsidR="0073080D">
        <w:t xml:space="preserve"> </w:t>
      </w:r>
      <w:r>
        <w:t>Bắc Giang,</w:t>
      </w:r>
      <w:r w:rsidR="0073080D">
        <w:t xml:space="preserve"> </w:t>
      </w:r>
      <w:r>
        <w:t>Hải Dương,</w:t>
      </w:r>
      <w:r w:rsidR="0073080D">
        <w:t xml:space="preserve"> </w:t>
      </w:r>
      <w:r>
        <w:t>Vĩnh Long,</w:t>
      </w:r>
      <w:r w:rsidR="0073080D">
        <w:t xml:space="preserve"> </w:t>
      </w:r>
      <w:r>
        <w:t>Đà Nẵng,</w:t>
      </w:r>
      <w:r w:rsidR="0073080D">
        <w:t xml:space="preserve"> </w:t>
      </w:r>
      <w:r>
        <w:t>Bà Rịa - Vũng Tàu và Quảng Nam.</w:t>
      </w:r>
    </w:p>
    <w:p w14:paraId="322858A6" w14:textId="43F28AE5" w:rsidR="00F94968" w:rsidRDefault="00895B5A" w:rsidP="004B7202">
      <w:pPr>
        <w:pStyle w:val="BodyText"/>
      </w:pPr>
      <w:r>
        <w:t>Nhóm B – công khai TƯƠNG ĐỐI, bao gồm 2</w:t>
      </w:r>
      <w:r w:rsidR="0073323C">
        <w:t>7</w:t>
      </w:r>
      <w:r>
        <w:t xml:space="preserve"> tỉnh, là những tỉnh có điểm POBI quy đổi từ 50 – dưới 75 điểm. Nhóm này bao gồm: </w:t>
      </w:r>
      <w:r w:rsidR="004B7202">
        <w:t xml:space="preserve">Kon Tum, Điện Biên, Hà Giang, Long An, Lào Cai, Thái Bình, Bến Tre, Cần Thơ, Đắk Nông, Phú Thọ, Hải Phòng, Gia Lai, Tiền Giang, TP. Hồ Chí Minh, Sơn La, Thừa Thiên Huế, Vĩnh Phúc, Bình Phước, Đắk Lắk, Phú Yên, Quảng Ngãi, Thanh Hóa, </w:t>
      </w:r>
      <w:r w:rsidR="0073323C">
        <w:t xml:space="preserve">Đồng Nai, </w:t>
      </w:r>
      <w:r w:rsidR="004B7202">
        <w:t>Sóc Trăng, Thái Nguyên, Cà Mau, và Hưng Yên</w:t>
      </w:r>
      <w:r>
        <w:t>.</w:t>
      </w:r>
    </w:p>
    <w:p w14:paraId="50DDB211" w14:textId="552D8B6C" w:rsidR="00F94968" w:rsidRDefault="00895B5A" w:rsidP="00851B92">
      <w:pPr>
        <w:pStyle w:val="BodyText"/>
      </w:pPr>
      <w:r>
        <w:t xml:space="preserve">Nhóm C - công khai CHƯA ĐẦY ĐỦ, bao gồm </w:t>
      </w:r>
      <w:r w:rsidR="00CC0B02">
        <w:t>9</w:t>
      </w:r>
      <w:r>
        <w:t xml:space="preserve"> tỉnh, là những tỉnh có điểm POBI quy đổi từ 25 – dưới 50 điểm. Nhóm này bao gồm </w:t>
      </w:r>
      <w:r w:rsidR="00851B92">
        <w:t>Ninh Bình, Tuyên Quang, Hậu Giang, Nam Định, Bạc Liêu, Quảng Bình, Nghệ An, Hà Tĩnh, và Kiên Giang</w:t>
      </w:r>
      <w:r>
        <w:t>.</w:t>
      </w:r>
    </w:p>
    <w:p w14:paraId="6405273E" w14:textId="7C5DC64A" w:rsidR="00F94968" w:rsidRDefault="00895B5A">
      <w:pPr>
        <w:pStyle w:val="BodyText"/>
      </w:pPr>
      <w:r>
        <w:t>Nhóm cuối cùng là nhóm D- ÍT công khai, gồm 3 tỉnh, là những tỉnh có điểm POBI quy đổi từ 0 – dưới 25 điểm, bao gồm: Hòa Bình (1.69 điểm), Đồng Tháp (7.9 điểm), và Lạng Sơn (21.61 điểm).</w:t>
      </w:r>
    </w:p>
    <w:p w14:paraId="0A85CE41" w14:textId="6730D871" w:rsidR="002A7AE1" w:rsidRDefault="002A7AE1">
      <w:pPr>
        <w:pStyle w:val="BodyText"/>
      </w:pPr>
      <w:r>
        <w:t>Bắc Giang và Hải Phòng là những tỉnh có kết quả xếp hạng POBI 2019 tích cực hơn so với 2018. Bắc Giang tăng 54 hạng từ vị trí 61 trong khảo sát POBI2018 lên thứ 6 trong khảo sát POBI2019, Hải Phòng tăng 29 bậc từ vị trí 63 trong khảo sát POBI2018 lên 35 trong khảo sát POBI2019.</w:t>
      </w:r>
    </w:p>
    <w:p w14:paraId="624D5B4C" w14:textId="1F83CD92" w:rsidR="007A4385" w:rsidRDefault="007A4385" w:rsidP="00B002D0">
      <w:pPr>
        <w:pStyle w:val="Caption"/>
        <w:keepNext/>
      </w:pPr>
      <w:r>
        <w:lastRenderedPageBreak/>
        <w:t xml:space="preserve">Hình </w:t>
      </w:r>
      <w:r w:rsidR="002E3AAA">
        <w:fldChar w:fldCharType="begin"/>
      </w:r>
      <w:r w:rsidR="002E3AAA">
        <w:instrText xml:space="preserve"> SEQ Hình \* ARABIC </w:instrText>
      </w:r>
      <w:r w:rsidR="002E3AAA">
        <w:fldChar w:fldCharType="separate"/>
      </w:r>
      <w:r w:rsidR="0067281F">
        <w:rPr>
          <w:noProof/>
        </w:rPr>
        <w:t>2</w:t>
      </w:r>
      <w:r w:rsidR="002E3AAA">
        <w:rPr>
          <w:noProof/>
        </w:rPr>
        <w:fldChar w:fldCharType="end"/>
      </w:r>
      <w:r>
        <w:t xml:space="preserve">: </w:t>
      </w:r>
      <w:r w:rsidRPr="007A4385">
        <w:t>Kết quả xếp hạng chỉ số công khai ngân sách tỉnh POBI 2019</w:t>
      </w:r>
    </w:p>
    <w:p w14:paraId="0A3EEEDD" w14:textId="77777777" w:rsidR="002B42CD" w:rsidRDefault="002B42CD" w:rsidP="00995A33">
      <w:pPr>
        <w:pStyle w:val="Caption"/>
        <w:keepNext/>
      </w:pPr>
      <w:r>
        <w:rPr>
          <w:noProof/>
        </w:rPr>
        <mc:AlternateContent>
          <mc:Choice Requires="wpg">
            <w:drawing>
              <wp:inline distT="0" distB="0" distL="0" distR="0" wp14:anchorId="26DBA030" wp14:editId="0ECB9A5C">
                <wp:extent cx="5715000" cy="8458200"/>
                <wp:effectExtent l="0" t="0" r="0" b="0"/>
                <wp:docPr id="3" name="Group 3"/>
                <wp:cNvGraphicFramePr/>
                <a:graphic xmlns:a="http://schemas.openxmlformats.org/drawingml/2006/main">
                  <a:graphicData uri="http://schemas.microsoft.com/office/word/2010/wordprocessingGroup">
                    <wpg:wgp>
                      <wpg:cNvGrpSpPr/>
                      <wpg:grpSpPr>
                        <a:xfrm>
                          <a:off x="0" y="0"/>
                          <a:ext cx="5715000" cy="8458200"/>
                          <a:chOff x="0" y="0"/>
                          <a:chExt cx="7326044" cy="10777611"/>
                        </a:xfrm>
                      </wpg:grpSpPr>
                      <wpg:graphicFrame>
                        <wpg:cNvPr id="28" name="Chart 28"/>
                        <wpg:cNvFrPr/>
                        <wpg:xfrm>
                          <a:off x="0" y="0"/>
                          <a:ext cx="7326044" cy="10777611"/>
                        </wpg:xfrm>
                        <a:graphic>
                          <a:graphicData uri="http://schemas.openxmlformats.org/drawingml/2006/chart">
                            <c:chart xmlns:c="http://schemas.openxmlformats.org/drawingml/2006/chart" xmlns:r="http://schemas.openxmlformats.org/officeDocument/2006/relationships" r:id="rId11"/>
                          </a:graphicData>
                        </a:graphic>
                      </wpg:graphicFrame>
                      <wps:wsp>
                        <wps:cNvPr id="29" name="TextBox 2"/>
                        <wps:cNvSpPr txBox="1"/>
                        <wps:spPr>
                          <a:xfrm rot="5400000">
                            <a:off x="3867186" y="8813122"/>
                            <a:ext cx="2885604" cy="46207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7E1E5DC" w14:textId="77777777" w:rsidR="002B42CD" w:rsidRDefault="002B42CD" w:rsidP="002B42CD">
                              <w:pPr>
                                <w:rPr>
                                  <w:sz w:val="24"/>
                                  <w:szCs w:val="24"/>
                                </w:rPr>
                              </w:pPr>
                              <w:r>
                                <w:rPr>
                                  <w:rFonts w:asciiTheme="minorHAnsi" w:hAnsi="Calibri" w:cstheme="minorBidi"/>
                                  <w:b/>
                                  <w:bCs/>
                                  <w:color w:val="000000" w:themeColor="text1"/>
                                  <w:sz w:val="22"/>
                                  <w:szCs w:val="22"/>
                                </w:rPr>
                                <w:t>Điểm  trung bình POBI 2019: 65.55</w:t>
                              </w:r>
                            </w:p>
                          </w:txbxContent>
                        </wps:txbx>
                        <wps:bodyPr wrap="square" rtlCol="0" anchor="t">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6DBA030" id="Group 3" o:spid="_x0000_s1026" style="width:450pt;height:666pt;mso-position-horizontal-relative:char;mso-position-vertical-relative:line" coordsize="73260,107776" o:gfxdata="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8" o:spid="_x0000_s1027" type="#_x0000_t75" style="position:absolute;left:-78;top:-77;width:73377;height:1078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">
                  <v:imagedata r:id="rId12" o:title=""/>
                  <o:lock v:ext="edit" aspectratio="f"/>
                </v:shape>
                <v:shapetype id="_x0000_t202" coordsize="21600,21600" o:spt="202" path="m,l,21600r21600,l21600,xe">
                  <v:stroke joinstyle="miter"/>
                  <v:path gradientshapeok="t" o:connecttype="rect"/>
                </v:shapetype>
                <v:shape id="TextBox 2" o:spid="_x0000_s1028" type="#_x0000_t202" style="position:absolute;left:38672;top:88130;width:28856;height:462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" filled="f" stroked="f">
                  <v:textbox>
                    <w:txbxContent>
                      <w:p w14:paraId="17E1E5DC" w14:textId="77777777" w:rsidR="002B42CD" w:rsidRDefault="002B42CD" w:rsidP="002B42CD">
                        <w:pPr>
                          <w:rPr>
                            <w:sz w:val="24"/>
                            <w:szCs w:val="24"/>
                          </w:rPr>
                        </w:pPr>
                        <w:r>
                          <w:rPr>
                            <w:rFonts w:asciiTheme="minorHAnsi" w:hAnsi="Calibri" w:cstheme="minorBidi"/>
                            <w:b/>
                            <w:bCs/>
                            <w:color w:val="000000" w:themeColor="text1"/>
                            <w:sz w:val="22"/>
                            <w:szCs w:val="22"/>
                          </w:rPr>
                          <w:t>Điểm  trung bình POBI 2019: 65.55</w:t>
                        </w:r>
                      </w:p>
                    </w:txbxContent>
                  </v:textbox>
                </v:shape>
                <w10:anchorlock/>
              </v:group>
            </w:pict>
          </mc:Fallback>
        </mc:AlternateContent>
      </w:r>
    </w:p>
    <w:p w14:paraId="0A7CC49B" w14:textId="1C086CB4" w:rsidR="003A1513" w:rsidRDefault="003A1513" w:rsidP="00995A33">
      <w:pPr>
        <w:pStyle w:val="Caption"/>
        <w:keepNext/>
      </w:pPr>
      <w:r>
        <w:lastRenderedPageBreak/>
        <w:t xml:space="preserve">Hình </w:t>
      </w:r>
      <w:r w:rsidR="002E3AAA">
        <w:fldChar w:fldCharType="begin"/>
      </w:r>
      <w:r w:rsidR="002E3AAA">
        <w:instrText xml:space="preserve"> SEQ Hình \* ARABIC </w:instrText>
      </w:r>
      <w:r w:rsidR="002E3AAA">
        <w:fldChar w:fldCharType="separate"/>
      </w:r>
      <w:r w:rsidR="0067281F">
        <w:rPr>
          <w:noProof/>
        </w:rPr>
        <w:t>3</w:t>
      </w:r>
      <w:r w:rsidR="002E3AAA">
        <w:rPr>
          <w:noProof/>
        </w:rPr>
        <w:fldChar w:fldCharType="end"/>
      </w:r>
      <w:r>
        <w:t xml:space="preserve">: Phân loại </w:t>
      </w:r>
      <w:r w:rsidRPr="007A4385">
        <w:t>xếp hạng chỉ số công khai ngân sách tỉnh POBI 2019</w:t>
      </w:r>
    </w:p>
    <w:p w14:paraId="60EB7E79" w14:textId="7822F4CA" w:rsidR="003A1513" w:rsidRDefault="00CF6653" w:rsidP="00995A33">
      <w:pPr>
        <w:pStyle w:val="BodyText"/>
        <w:jc w:val="center"/>
      </w:pPr>
      <w:r>
        <w:rPr>
          <w:noProof/>
        </w:rPr>
        <w:drawing>
          <wp:inline distT="0" distB="0" distL="0" distR="0" wp14:anchorId="78650D2F" wp14:editId="373E9D3D">
            <wp:extent cx="5492750" cy="717550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2750" cy="7175500"/>
                    </a:xfrm>
                    <a:prstGeom prst="rect">
                      <a:avLst/>
                    </a:prstGeom>
                    <a:noFill/>
                  </pic:spPr>
                </pic:pic>
              </a:graphicData>
            </a:graphic>
          </wp:inline>
        </w:drawing>
      </w:r>
    </w:p>
    <w:p w14:paraId="34BF5309" w14:textId="07F519CD" w:rsidR="00F94968" w:rsidRDefault="00895B5A">
      <w:pPr>
        <w:pStyle w:val="BodyText"/>
      </w:pPr>
      <w:r>
        <w:t>Xếp theo 7 vùng địa lý trên cả nước, Bắc Giang (87 điểm), Hải Dương (88.14 điểm), Quảng Trị (83.98 điểm), Quảng Nam (90.51 điểm), Lâm Đồng (76.39 điểm), Bà Rịa - Vũng Tàu</w:t>
      </w:r>
      <w:r w:rsidR="0073080D">
        <w:t xml:space="preserve"> </w:t>
      </w:r>
      <w:r>
        <w:t>(90.39 điểm), và Vĩnh Long (88.95 điểm) là các tỉnh có số điểm POBI đứng đầu mỗi vùng.</w:t>
      </w:r>
    </w:p>
    <w:p w14:paraId="46D30675" w14:textId="69240FF4" w:rsidR="005E0D1F" w:rsidRDefault="005E0D1F" w:rsidP="005E0D1F">
      <w:pPr>
        <w:pStyle w:val="Caption"/>
        <w:keepNext/>
      </w:pPr>
      <w:r>
        <w:lastRenderedPageBreak/>
        <w:t xml:space="preserve">Bảng </w:t>
      </w:r>
      <w:r w:rsidR="002E3AAA">
        <w:fldChar w:fldCharType="begin"/>
      </w:r>
      <w:r w:rsidR="002E3AAA">
        <w:instrText xml:space="preserve"> SEQ Bảng \* ARABIC </w:instrText>
      </w:r>
      <w:r w:rsidR="002E3AAA">
        <w:fldChar w:fldCharType="separate"/>
      </w:r>
      <w:r w:rsidR="0067281F">
        <w:rPr>
          <w:noProof/>
        </w:rPr>
        <w:t>5</w:t>
      </w:r>
      <w:r w:rsidR="002E3AAA">
        <w:rPr>
          <w:noProof/>
        </w:rPr>
        <w:fldChar w:fldCharType="end"/>
      </w:r>
      <w:r>
        <w:t xml:space="preserve">: </w:t>
      </w:r>
      <w:r w:rsidRPr="00AF58EC">
        <w:t>Xếp hạng công khai ngân sách tỉnh POBI 201</w:t>
      </w:r>
      <w:r w:rsidR="00EB58C0">
        <w:t>9</w:t>
      </w:r>
      <w:r w:rsidRPr="00AF58EC">
        <w:t xml:space="preserve"> theo 7 vùng địa lý</w:t>
      </w:r>
    </w:p>
    <w:tbl>
      <w:tblPr>
        <w:tblW w:w="9170" w:type="dxa"/>
        <w:tblInd w:w="118" w:type="dxa"/>
        <w:tblLook w:val="04A0" w:firstRow="1" w:lastRow="0" w:firstColumn="1" w:lastColumn="0" w:noHBand="0" w:noVBand="1"/>
      </w:tblPr>
      <w:tblGrid>
        <w:gridCol w:w="931"/>
        <w:gridCol w:w="1170"/>
        <w:gridCol w:w="627"/>
        <w:gridCol w:w="1490"/>
        <w:gridCol w:w="963"/>
        <w:gridCol w:w="1384"/>
        <w:gridCol w:w="715"/>
        <w:gridCol w:w="1135"/>
        <w:gridCol w:w="755"/>
      </w:tblGrid>
      <w:tr w:rsidR="009C2A54" w:rsidRPr="002E3AAA" w14:paraId="57CFB807" w14:textId="77777777" w:rsidTr="00994D1E">
        <w:trPr>
          <w:trHeight w:val="480"/>
        </w:trPr>
        <w:tc>
          <w:tcPr>
            <w:tcW w:w="941" w:type="dxa"/>
            <w:tcBorders>
              <w:top w:val="single" w:sz="8" w:space="0" w:color="auto"/>
              <w:left w:val="single" w:sz="8" w:space="0" w:color="auto"/>
              <w:bottom w:val="single" w:sz="8" w:space="0" w:color="auto"/>
              <w:right w:val="single" w:sz="8" w:space="0" w:color="auto"/>
            </w:tcBorders>
            <w:shd w:val="clear" w:color="000000" w:fill="2F5496"/>
            <w:vAlign w:val="center"/>
            <w:hideMark/>
          </w:tcPr>
          <w:p w14:paraId="302C91BA" w14:textId="77777777" w:rsidR="009C2A54" w:rsidRPr="00994D1E" w:rsidRDefault="009C2A54" w:rsidP="009C2A54">
            <w:pPr>
              <w:suppressAutoHyphens w:val="0"/>
              <w:spacing w:before="0" w:after="0" w:line="240" w:lineRule="auto"/>
              <w:rPr>
                <w:rFonts w:asciiTheme="minorHAnsi" w:hAnsiTheme="minorHAnsi" w:cs="Calibri"/>
                <w:b/>
                <w:bCs/>
                <w:color w:val="FFFFFF"/>
                <w:sz w:val="18"/>
                <w:szCs w:val="18"/>
              </w:rPr>
            </w:pPr>
            <w:r w:rsidRPr="00994D1E">
              <w:rPr>
                <w:rFonts w:asciiTheme="minorHAnsi" w:hAnsiTheme="minorHAnsi" w:cs="Calibri"/>
                <w:b/>
                <w:bCs/>
                <w:color w:val="FFFFFF"/>
                <w:sz w:val="18"/>
                <w:szCs w:val="18"/>
              </w:rPr>
              <w:t>Vùng</w:t>
            </w:r>
          </w:p>
        </w:tc>
        <w:tc>
          <w:tcPr>
            <w:tcW w:w="1721" w:type="dxa"/>
            <w:gridSpan w:val="2"/>
            <w:tcBorders>
              <w:top w:val="single" w:sz="8" w:space="0" w:color="00000A"/>
              <w:left w:val="nil"/>
              <w:bottom w:val="single" w:sz="8" w:space="0" w:color="00000A"/>
              <w:right w:val="single" w:sz="8" w:space="0" w:color="00000A"/>
            </w:tcBorders>
            <w:shd w:val="clear" w:color="000000" w:fill="2F5496"/>
            <w:vAlign w:val="center"/>
            <w:hideMark/>
          </w:tcPr>
          <w:p w14:paraId="38DF668F" w14:textId="77777777" w:rsidR="009C2A54" w:rsidRPr="00994D1E" w:rsidRDefault="009C2A54" w:rsidP="009C2A54">
            <w:pPr>
              <w:suppressAutoHyphens w:val="0"/>
              <w:spacing w:before="0" w:after="0" w:line="240" w:lineRule="auto"/>
              <w:jc w:val="center"/>
              <w:rPr>
                <w:rFonts w:asciiTheme="minorHAnsi" w:hAnsiTheme="minorHAnsi" w:cs="Calibri"/>
                <w:b/>
                <w:bCs/>
                <w:color w:val="FFFFFF"/>
                <w:sz w:val="18"/>
                <w:szCs w:val="18"/>
              </w:rPr>
            </w:pPr>
            <w:r w:rsidRPr="00994D1E">
              <w:rPr>
                <w:rFonts w:asciiTheme="minorHAnsi" w:hAnsiTheme="minorHAnsi" w:cs="Calibri"/>
                <w:b/>
                <w:bCs/>
                <w:color w:val="FFFFFF"/>
                <w:sz w:val="18"/>
                <w:szCs w:val="18"/>
              </w:rPr>
              <w:t>Trung du và miền núi Bắc bộ</w:t>
            </w:r>
          </w:p>
        </w:tc>
        <w:tc>
          <w:tcPr>
            <w:tcW w:w="2484" w:type="dxa"/>
            <w:gridSpan w:val="2"/>
            <w:tcBorders>
              <w:top w:val="single" w:sz="8" w:space="0" w:color="00000A"/>
              <w:left w:val="nil"/>
              <w:bottom w:val="single" w:sz="8" w:space="0" w:color="00000A"/>
              <w:right w:val="single" w:sz="8" w:space="0" w:color="00000A"/>
            </w:tcBorders>
            <w:shd w:val="clear" w:color="000000" w:fill="2F5496"/>
            <w:vAlign w:val="center"/>
            <w:hideMark/>
          </w:tcPr>
          <w:p w14:paraId="6D6E5B8E" w14:textId="77777777" w:rsidR="009C2A54" w:rsidRPr="00994D1E" w:rsidRDefault="009C2A54" w:rsidP="009C2A54">
            <w:pPr>
              <w:suppressAutoHyphens w:val="0"/>
              <w:spacing w:before="0" w:after="0" w:line="240" w:lineRule="auto"/>
              <w:jc w:val="center"/>
              <w:rPr>
                <w:rFonts w:asciiTheme="minorHAnsi" w:hAnsiTheme="minorHAnsi" w:cs="Calibri"/>
                <w:b/>
                <w:bCs/>
                <w:color w:val="FFFFFF"/>
                <w:sz w:val="18"/>
                <w:szCs w:val="18"/>
              </w:rPr>
            </w:pPr>
            <w:r w:rsidRPr="00994D1E">
              <w:rPr>
                <w:rFonts w:asciiTheme="minorHAnsi" w:hAnsiTheme="minorHAnsi" w:cs="Calibri"/>
                <w:b/>
                <w:bCs/>
                <w:color w:val="FFFFFF"/>
                <w:sz w:val="18"/>
                <w:szCs w:val="18"/>
              </w:rPr>
              <w:t>ĐBSH</w:t>
            </w:r>
          </w:p>
        </w:tc>
        <w:tc>
          <w:tcPr>
            <w:tcW w:w="2120" w:type="dxa"/>
            <w:gridSpan w:val="2"/>
            <w:tcBorders>
              <w:top w:val="single" w:sz="8" w:space="0" w:color="00000A"/>
              <w:left w:val="nil"/>
              <w:bottom w:val="single" w:sz="8" w:space="0" w:color="00000A"/>
              <w:right w:val="single" w:sz="8" w:space="0" w:color="00000A"/>
            </w:tcBorders>
            <w:shd w:val="clear" w:color="000000" w:fill="2F5496"/>
            <w:vAlign w:val="center"/>
            <w:hideMark/>
          </w:tcPr>
          <w:p w14:paraId="3DBB4E19" w14:textId="77777777" w:rsidR="009C2A54" w:rsidRPr="00994D1E" w:rsidRDefault="009C2A54" w:rsidP="009C2A54">
            <w:pPr>
              <w:suppressAutoHyphens w:val="0"/>
              <w:spacing w:before="0" w:after="0" w:line="240" w:lineRule="auto"/>
              <w:jc w:val="center"/>
              <w:rPr>
                <w:rFonts w:asciiTheme="minorHAnsi" w:hAnsiTheme="minorHAnsi" w:cs="Calibri"/>
                <w:b/>
                <w:bCs/>
                <w:color w:val="FFFFFF"/>
                <w:sz w:val="18"/>
                <w:szCs w:val="18"/>
              </w:rPr>
            </w:pPr>
            <w:r w:rsidRPr="00994D1E">
              <w:rPr>
                <w:rFonts w:asciiTheme="minorHAnsi" w:hAnsiTheme="minorHAnsi" w:cs="Calibri"/>
                <w:b/>
                <w:bCs/>
                <w:color w:val="FFFFFF"/>
                <w:sz w:val="18"/>
                <w:szCs w:val="18"/>
              </w:rPr>
              <w:t>Bắc Trung bộ</w:t>
            </w:r>
          </w:p>
        </w:tc>
        <w:tc>
          <w:tcPr>
            <w:tcW w:w="1904" w:type="dxa"/>
            <w:gridSpan w:val="2"/>
            <w:tcBorders>
              <w:top w:val="single" w:sz="8" w:space="0" w:color="00000A"/>
              <w:left w:val="nil"/>
              <w:bottom w:val="single" w:sz="8" w:space="0" w:color="00000A"/>
              <w:right w:val="single" w:sz="8" w:space="0" w:color="00000A"/>
            </w:tcBorders>
            <w:shd w:val="clear" w:color="000000" w:fill="2F5496"/>
            <w:vAlign w:val="center"/>
            <w:hideMark/>
          </w:tcPr>
          <w:p w14:paraId="55AFE421" w14:textId="77777777" w:rsidR="009C2A54" w:rsidRPr="00994D1E" w:rsidRDefault="009C2A54" w:rsidP="009C2A54">
            <w:pPr>
              <w:suppressAutoHyphens w:val="0"/>
              <w:spacing w:before="0" w:after="0" w:line="240" w:lineRule="auto"/>
              <w:jc w:val="center"/>
              <w:rPr>
                <w:rFonts w:asciiTheme="minorHAnsi" w:hAnsiTheme="minorHAnsi" w:cs="Calibri"/>
                <w:b/>
                <w:bCs/>
                <w:color w:val="FFFFFF"/>
                <w:sz w:val="18"/>
                <w:szCs w:val="18"/>
                <w:lang w:val="de-DE"/>
              </w:rPr>
            </w:pPr>
            <w:r w:rsidRPr="00994D1E">
              <w:rPr>
                <w:rFonts w:asciiTheme="minorHAnsi" w:hAnsiTheme="minorHAnsi" w:cs="Calibri"/>
                <w:b/>
                <w:bCs/>
                <w:color w:val="FFFFFF"/>
                <w:sz w:val="18"/>
                <w:szCs w:val="18"/>
                <w:lang w:val="de-DE"/>
              </w:rPr>
              <w:t>Duyên hải Nam trung bộ</w:t>
            </w:r>
          </w:p>
        </w:tc>
      </w:tr>
      <w:tr w:rsidR="009C2A54" w:rsidRPr="00994D1E" w14:paraId="67188958" w14:textId="77777777" w:rsidTr="00994D1E">
        <w:trPr>
          <w:trHeight w:val="300"/>
        </w:trPr>
        <w:tc>
          <w:tcPr>
            <w:tcW w:w="941" w:type="dxa"/>
            <w:tcBorders>
              <w:top w:val="nil"/>
              <w:left w:val="single" w:sz="8" w:space="0" w:color="auto"/>
              <w:bottom w:val="single" w:sz="8" w:space="0" w:color="auto"/>
              <w:right w:val="single" w:sz="8" w:space="0" w:color="auto"/>
            </w:tcBorders>
            <w:shd w:val="clear" w:color="000000" w:fill="D0CECE"/>
            <w:vAlign w:val="center"/>
            <w:hideMark/>
          </w:tcPr>
          <w:p w14:paraId="56D3CFEA" w14:textId="77777777" w:rsidR="009C2A54" w:rsidRPr="00994D1E" w:rsidRDefault="009C2A54" w:rsidP="009C2A54">
            <w:pPr>
              <w:suppressAutoHyphens w:val="0"/>
              <w:spacing w:before="0" w:after="0" w:line="240" w:lineRule="auto"/>
              <w:rPr>
                <w:rFonts w:asciiTheme="minorHAnsi" w:hAnsiTheme="minorHAnsi" w:cs="Calibri"/>
                <w:b/>
                <w:bCs/>
                <w:color w:val="000000"/>
                <w:sz w:val="18"/>
                <w:szCs w:val="18"/>
              </w:rPr>
            </w:pPr>
            <w:r w:rsidRPr="00994D1E">
              <w:rPr>
                <w:rFonts w:asciiTheme="minorHAnsi" w:hAnsiTheme="minorHAnsi" w:cs="Calibri"/>
                <w:b/>
                <w:bCs/>
                <w:color w:val="000000"/>
                <w:sz w:val="18"/>
                <w:szCs w:val="18"/>
              </w:rPr>
              <w:t>STT</w:t>
            </w:r>
          </w:p>
        </w:tc>
        <w:tc>
          <w:tcPr>
            <w:tcW w:w="1181" w:type="dxa"/>
            <w:tcBorders>
              <w:top w:val="nil"/>
              <w:left w:val="nil"/>
              <w:bottom w:val="single" w:sz="8" w:space="0" w:color="00000A"/>
              <w:right w:val="single" w:sz="8" w:space="0" w:color="00000A"/>
            </w:tcBorders>
            <w:shd w:val="clear" w:color="000000" w:fill="D0CECE"/>
            <w:vAlign w:val="center"/>
            <w:hideMark/>
          </w:tcPr>
          <w:p w14:paraId="16DC2904" w14:textId="77777777" w:rsidR="009C2A54" w:rsidRPr="00994D1E" w:rsidRDefault="009C2A54" w:rsidP="009C2A54">
            <w:pPr>
              <w:suppressAutoHyphens w:val="0"/>
              <w:spacing w:before="0" w:after="0" w:line="240" w:lineRule="auto"/>
              <w:rPr>
                <w:rFonts w:asciiTheme="minorHAnsi" w:hAnsiTheme="minorHAnsi" w:cs="Calibri"/>
                <w:b/>
                <w:bCs/>
                <w:color w:val="000000"/>
                <w:sz w:val="18"/>
                <w:szCs w:val="18"/>
              </w:rPr>
            </w:pPr>
            <w:r w:rsidRPr="00994D1E">
              <w:rPr>
                <w:rFonts w:asciiTheme="minorHAnsi" w:hAnsiTheme="minorHAnsi" w:cs="Calibri"/>
                <w:b/>
                <w:bCs/>
                <w:color w:val="000000"/>
                <w:sz w:val="18"/>
                <w:szCs w:val="18"/>
              </w:rPr>
              <w:t>Tỉnh</w:t>
            </w:r>
          </w:p>
        </w:tc>
        <w:tc>
          <w:tcPr>
            <w:tcW w:w="540" w:type="dxa"/>
            <w:tcBorders>
              <w:top w:val="nil"/>
              <w:left w:val="nil"/>
              <w:bottom w:val="single" w:sz="8" w:space="0" w:color="00000A"/>
              <w:right w:val="single" w:sz="8" w:space="0" w:color="00000A"/>
            </w:tcBorders>
            <w:shd w:val="clear" w:color="000000" w:fill="D0CECE"/>
            <w:vAlign w:val="center"/>
            <w:hideMark/>
          </w:tcPr>
          <w:p w14:paraId="171E2C3D" w14:textId="77777777" w:rsidR="009C2A54" w:rsidRPr="00994D1E" w:rsidRDefault="009C2A54" w:rsidP="009C2A54">
            <w:pPr>
              <w:suppressAutoHyphens w:val="0"/>
              <w:spacing w:before="0" w:after="0" w:line="240" w:lineRule="auto"/>
              <w:jc w:val="right"/>
              <w:rPr>
                <w:rFonts w:asciiTheme="minorHAnsi" w:hAnsiTheme="minorHAnsi" w:cs="Calibri"/>
                <w:b/>
                <w:bCs/>
                <w:color w:val="000000"/>
                <w:sz w:val="18"/>
                <w:szCs w:val="18"/>
              </w:rPr>
            </w:pPr>
            <w:r w:rsidRPr="00994D1E">
              <w:rPr>
                <w:rFonts w:asciiTheme="minorHAnsi" w:hAnsiTheme="minorHAnsi" w:cs="Calibri"/>
                <w:b/>
                <w:bCs/>
                <w:color w:val="000000"/>
                <w:sz w:val="18"/>
                <w:szCs w:val="18"/>
              </w:rPr>
              <w:t>Điểm</w:t>
            </w:r>
          </w:p>
        </w:tc>
        <w:tc>
          <w:tcPr>
            <w:tcW w:w="1512" w:type="dxa"/>
            <w:tcBorders>
              <w:top w:val="nil"/>
              <w:left w:val="nil"/>
              <w:bottom w:val="single" w:sz="8" w:space="0" w:color="00000A"/>
              <w:right w:val="single" w:sz="8" w:space="0" w:color="00000A"/>
            </w:tcBorders>
            <w:shd w:val="clear" w:color="000000" w:fill="D0CECE"/>
            <w:vAlign w:val="center"/>
            <w:hideMark/>
          </w:tcPr>
          <w:p w14:paraId="7B93D2F5" w14:textId="77777777" w:rsidR="009C2A54" w:rsidRPr="00994D1E" w:rsidRDefault="009C2A54" w:rsidP="009C2A54">
            <w:pPr>
              <w:suppressAutoHyphens w:val="0"/>
              <w:spacing w:before="0" w:after="0" w:line="240" w:lineRule="auto"/>
              <w:rPr>
                <w:rFonts w:asciiTheme="minorHAnsi" w:hAnsiTheme="minorHAnsi" w:cs="Calibri"/>
                <w:b/>
                <w:bCs/>
                <w:color w:val="000000"/>
                <w:sz w:val="18"/>
                <w:szCs w:val="18"/>
              </w:rPr>
            </w:pPr>
            <w:r w:rsidRPr="00994D1E">
              <w:rPr>
                <w:rFonts w:asciiTheme="minorHAnsi" w:hAnsiTheme="minorHAnsi" w:cs="Calibri"/>
                <w:b/>
                <w:bCs/>
                <w:color w:val="000000"/>
                <w:sz w:val="18"/>
                <w:szCs w:val="18"/>
              </w:rPr>
              <w:t>Tỉnh</w:t>
            </w:r>
          </w:p>
        </w:tc>
        <w:tc>
          <w:tcPr>
            <w:tcW w:w="972" w:type="dxa"/>
            <w:tcBorders>
              <w:top w:val="nil"/>
              <w:left w:val="nil"/>
              <w:bottom w:val="single" w:sz="8" w:space="0" w:color="00000A"/>
              <w:right w:val="single" w:sz="8" w:space="0" w:color="00000A"/>
            </w:tcBorders>
            <w:shd w:val="clear" w:color="000000" w:fill="D0CECE"/>
            <w:vAlign w:val="center"/>
            <w:hideMark/>
          </w:tcPr>
          <w:p w14:paraId="7111070C" w14:textId="77777777" w:rsidR="009C2A54" w:rsidRPr="00994D1E" w:rsidRDefault="009C2A54" w:rsidP="009C2A54">
            <w:pPr>
              <w:suppressAutoHyphens w:val="0"/>
              <w:spacing w:before="0" w:after="0" w:line="240" w:lineRule="auto"/>
              <w:jc w:val="right"/>
              <w:rPr>
                <w:rFonts w:asciiTheme="minorHAnsi" w:hAnsiTheme="minorHAnsi" w:cs="Calibri"/>
                <w:b/>
                <w:bCs/>
                <w:color w:val="000000"/>
                <w:sz w:val="18"/>
                <w:szCs w:val="18"/>
              </w:rPr>
            </w:pPr>
            <w:r w:rsidRPr="00994D1E">
              <w:rPr>
                <w:rFonts w:asciiTheme="minorHAnsi" w:hAnsiTheme="minorHAnsi" w:cs="Calibri"/>
                <w:b/>
                <w:bCs/>
                <w:color w:val="000000"/>
                <w:sz w:val="18"/>
                <w:szCs w:val="18"/>
              </w:rPr>
              <w:t>Điểm</w:t>
            </w:r>
          </w:p>
        </w:tc>
        <w:tc>
          <w:tcPr>
            <w:tcW w:w="1403" w:type="dxa"/>
            <w:tcBorders>
              <w:top w:val="nil"/>
              <w:left w:val="nil"/>
              <w:bottom w:val="single" w:sz="8" w:space="0" w:color="00000A"/>
              <w:right w:val="single" w:sz="8" w:space="0" w:color="00000A"/>
            </w:tcBorders>
            <w:shd w:val="clear" w:color="000000" w:fill="D0CECE"/>
            <w:vAlign w:val="center"/>
            <w:hideMark/>
          </w:tcPr>
          <w:p w14:paraId="354855EA" w14:textId="77777777" w:rsidR="009C2A54" w:rsidRPr="00994D1E" w:rsidRDefault="009C2A54" w:rsidP="009C2A54">
            <w:pPr>
              <w:suppressAutoHyphens w:val="0"/>
              <w:spacing w:before="0" w:after="0" w:line="240" w:lineRule="auto"/>
              <w:rPr>
                <w:rFonts w:asciiTheme="minorHAnsi" w:hAnsiTheme="minorHAnsi" w:cs="Calibri"/>
                <w:b/>
                <w:bCs/>
                <w:color w:val="000000"/>
                <w:sz w:val="18"/>
                <w:szCs w:val="18"/>
              </w:rPr>
            </w:pPr>
            <w:r w:rsidRPr="00994D1E">
              <w:rPr>
                <w:rFonts w:asciiTheme="minorHAnsi" w:hAnsiTheme="minorHAnsi" w:cs="Calibri"/>
                <w:b/>
                <w:bCs/>
                <w:color w:val="000000"/>
                <w:sz w:val="18"/>
                <w:szCs w:val="18"/>
              </w:rPr>
              <w:t>Tỉnh</w:t>
            </w:r>
          </w:p>
        </w:tc>
        <w:tc>
          <w:tcPr>
            <w:tcW w:w="717" w:type="dxa"/>
            <w:tcBorders>
              <w:top w:val="nil"/>
              <w:left w:val="nil"/>
              <w:bottom w:val="single" w:sz="8" w:space="0" w:color="00000A"/>
              <w:right w:val="single" w:sz="8" w:space="0" w:color="00000A"/>
            </w:tcBorders>
            <w:shd w:val="clear" w:color="000000" w:fill="D0CECE"/>
            <w:vAlign w:val="center"/>
            <w:hideMark/>
          </w:tcPr>
          <w:p w14:paraId="3314C3E8" w14:textId="77777777" w:rsidR="009C2A54" w:rsidRPr="00994D1E" w:rsidRDefault="009C2A54" w:rsidP="009C2A54">
            <w:pPr>
              <w:suppressAutoHyphens w:val="0"/>
              <w:spacing w:before="0" w:after="0" w:line="240" w:lineRule="auto"/>
              <w:jc w:val="right"/>
              <w:rPr>
                <w:rFonts w:asciiTheme="minorHAnsi" w:hAnsiTheme="minorHAnsi" w:cs="Calibri"/>
                <w:b/>
                <w:bCs/>
                <w:color w:val="000000"/>
                <w:sz w:val="18"/>
                <w:szCs w:val="18"/>
              </w:rPr>
            </w:pPr>
            <w:r w:rsidRPr="00994D1E">
              <w:rPr>
                <w:rFonts w:asciiTheme="minorHAnsi" w:hAnsiTheme="minorHAnsi" w:cs="Calibri"/>
                <w:b/>
                <w:bCs/>
                <w:color w:val="000000"/>
                <w:sz w:val="18"/>
                <w:szCs w:val="18"/>
              </w:rPr>
              <w:t>Điểm</w:t>
            </w:r>
          </w:p>
        </w:tc>
        <w:tc>
          <w:tcPr>
            <w:tcW w:w="1147" w:type="dxa"/>
            <w:tcBorders>
              <w:top w:val="nil"/>
              <w:left w:val="nil"/>
              <w:bottom w:val="single" w:sz="8" w:space="0" w:color="00000A"/>
              <w:right w:val="single" w:sz="8" w:space="0" w:color="00000A"/>
            </w:tcBorders>
            <w:shd w:val="clear" w:color="000000" w:fill="D0CECE"/>
            <w:vAlign w:val="center"/>
            <w:hideMark/>
          </w:tcPr>
          <w:p w14:paraId="3EAC6336" w14:textId="77777777" w:rsidR="009C2A54" w:rsidRPr="00994D1E" w:rsidRDefault="009C2A54" w:rsidP="009C2A54">
            <w:pPr>
              <w:suppressAutoHyphens w:val="0"/>
              <w:spacing w:before="0" w:after="0" w:line="240" w:lineRule="auto"/>
              <w:rPr>
                <w:rFonts w:asciiTheme="minorHAnsi" w:hAnsiTheme="minorHAnsi" w:cs="Calibri"/>
                <w:b/>
                <w:bCs/>
                <w:color w:val="000000"/>
                <w:sz w:val="18"/>
                <w:szCs w:val="18"/>
              </w:rPr>
            </w:pPr>
            <w:r w:rsidRPr="00994D1E">
              <w:rPr>
                <w:rFonts w:asciiTheme="minorHAnsi" w:hAnsiTheme="minorHAnsi" w:cs="Calibri"/>
                <w:b/>
                <w:bCs/>
                <w:color w:val="000000"/>
                <w:sz w:val="18"/>
                <w:szCs w:val="18"/>
              </w:rPr>
              <w:t>Tỉnh</w:t>
            </w:r>
          </w:p>
        </w:tc>
        <w:tc>
          <w:tcPr>
            <w:tcW w:w="757" w:type="dxa"/>
            <w:tcBorders>
              <w:top w:val="nil"/>
              <w:left w:val="nil"/>
              <w:bottom w:val="single" w:sz="8" w:space="0" w:color="00000A"/>
              <w:right w:val="single" w:sz="8" w:space="0" w:color="00000A"/>
            </w:tcBorders>
            <w:shd w:val="clear" w:color="000000" w:fill="D0CECE"/>
            <w:vAlign w:val="center"/>
            <w:hideMark/>
          </w:tcPr>
          <w:p w14:paraId="7666F6D7" w14:textId="77777777" w:rsidR="009C2A54" w:rsidRPr="00994D1E" w:rsidRDefault="009C2A54" w:rsidP="009C2A54">
            <w:pPr>
              <w:suppressAutoHyphens w:val="0"/>
              <w:spacing w:before="0" w:after="0" w:line="240" w:lineRule="auto"/>
              <w:jc w:val="right"/>
              <w:rPr>
                <w:rFonts w:asciiTheme="minorHAnsi" w:hAnsiTheme="minorHAnsi" w:cs="Calibri"/>
                <w:b/>
                <w:bCs/>
                <w:color w:val="000000"/>
                <w:sz w:val="18"/>
                <w:szCs w:val="18"/>
              </w:rPr>
            </w:pPr>
            <w:r w:rsidRPr="00994D1E">
              <w:rPr>
                <w:rFonts w:asciiTheme="minorHAnsi" w:hAnsiTheme="minorHAnsi" w:cs="Calibri"/>
                <w:b/>
                <w:bCs/>
                <w:color w:val="000000"/>
                <w:sz w:val="18"/>
                <w:szCs w:val="18"/>
              </w:rPr>
              <w:t>Điểm</w:t>
            </w:r>
          </w:p>
        </w:tc>
      </w:tr>
      <w:tr w:rsidR="00994D1E" w:rsidRPr="00994D1E" w14:paraId="7E526133" w14:textId="77777777" w:rsidTr="00994D1E">
        <w:trPr>
          <w:trHeight w:val="295"/>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3359DCE5"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1</w:t>
            </w:r>
          </w:p>
        </w:tc>
        <w:tc>
          <w:tcPr>
            <w:tcW w:w="1181" w:type="dxa"/>
            <w:tcBorders>
              <w:top w:val="nil"/>
              <w:left w:val="nil"/>
              <w:bottom w:val="single" w:sz="8" w:space="0" w:color="00000A"/>
              <w:right w:val="single" w:sz="8" w:space="0" w:color="00000A"/>
            </w:tcBorders>
            <w:shd w:val="clear" w:color="000000" w:fill="FFFFFF"/>
            <w:vAlign w:val="bottom"/>
            <w:hideMark/>
          </w:tcPr>
          <w:p w14:paraId="197C148F" w14:textId="21786617"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Bắc Giang</w:t>
            </w:r>
          </w:p>
        </w:tc>
        <w:tc>
          <w:tcPr>
            <w:tcW w:w="540" w:type="dxa"/>
            <w:tcBorders>
              <w:top w:val="nil"/>
              <w:left w:val="nil"/>
              <w:bottom w:val="single" w:sz="8" w:space="0" w:color="00000A"/>
              <w:right w:val="single" w:sz="8" w:space="0" w:color="00000A"/>
            </w:tcBorders>
            <w:shd w:val="clear" w:color="000000" w:fill="FFFFFF"/>
            <w:vAlign w:val="bottom"/>
            <w:hideMark/>
          </w:tcPr>
          <w:p w14:paraId="482D83D8" w14:textId="1C246F9F"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87</w:t>
            </w:r>
          </w:p>
        </w:tc>
        <w:tc>
          <w:tcPr>
            <w:tcW w:w="1512" w:type="dxa"/>
            <w:tcBorders>
              <w:top w:val="nil"/>
              <w:left w:val="nil"/>
              <w:bottom w:val="single" w:sz="8" w:space="0" w:color="00000A"/>
              <w:right w:val="single" w:sz="8" w:space="0" w:color="00000A"/>
            </w:tcBorders>
            <w:shd w:val="clear" w:color="000000" w:fill="FFFFFF"/>
            <w:vAlign w:val="bottom"/>
            <w:hideMark/>
          </w:tcPr>
          <w:p w14:paraId="1527E3C4" w14:textId="308FB0DE"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Hải Dương</w:t>
            </w:r>
          </w:p>
        </w:tc>
        <w:tc>
          <w:tcPr>
            <w:tcW w:w="972" w:type="dxa"/>
            <w:tcBorders>
              <w:top w:val="nil"/>
              <w:left w:val="nil"/>
              <w:bottom w:val="single" w:sz="8" w:space="0" w:color="00000A"/>
              <w:right w:val="single" w:sz="8" w:space="0" w:color="00000A"/>
            </w:tcBorders>
            <w:shd w:val="clear" w:color="000000" w:fill="FFFFFF"/>
            <w:vAlign w:val="bottom"/>
            <w:hideMark/>
          </w:tcPr>
          <w:p w14:paraId="36599811" w14:textId="547DF7FA"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88.14</w:t>
            </w:r>
          </w:p>
        </w:tc>
        <w:tc>
          <w:tcPr>
            <w:tcW w:w="1403" w:type="dxa"/>
            <w:tcBorders>
              <w:top w:val="nil"/>
              <w:left w:val="nil"/>
              <w:bottom w:val="single" w:sz="8" w:space="0" w:color="00000A"/>
              <w:right w:val="single" w:sz="8" w:space="0" w:color="00000A"/>
            </w:tcBorders>
            <w:shd w:val="clear" w:color="000000" w:fill="FFFFFF"/>
            <w:vAlign w:val="bottom"/>
            <w:hideMark/>
          </w:tcPr>
          <w:p w14:paraId="262B910E" w14:textId="0E77CE86"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Quảng Trị</w:t>
            </w:r>
          </w:p>
        </w:tc>
        <w:tc>
          <w:tcPr>
            <w:tcW w:w="717" w:type="dxa"/>
            <w:tcBorders>
              <w:top w:val="nil"/>
              <w:left w:val="nil"/>
              <w:bottom w:val="single" w:sz="8" w:space="0" w:color="00000A"/>
              <w:right w:val="single" w:sz="8" w:space="0" w:color="00000A"/>
            </w:tcBorders>
            <w:shd w:val="clear" w:color="000000" w:fill="FFFFFF"/>
            <w:vAlign w:val="bottom"/>
            <w:hideMark/>
          </w:tcPr>
          <w:p w14:paraId="7068877F" w14:textId="53A463C8"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83.98</w:t>
            </w:r>
          </w:p>
        </w:tc>
        <w:tc>
          <w:tcPr>
            <w:tcW w:w="1147" w:type="dxa"/>
            <w:tcBorders>
              <w:top w:val="nil"/>
              <w:left w:val="nil"/>
              <w:bottom w:val="single" w:sz="8" w:space="0" w:color="00000A"/>
              <w:right w:val="single" w:sz="8" w:space="0" w:color="00000A"/>
            </w:tcBorders>
            <w:shd w:val="clear" w:color="000000" w:fill="FFFFFF"/>
            <w:vAlign w:val="bottom"/>
            <w:hideMark/>
          </w:tcPr>
          <w:p w14:paraId="752302ED" w14:textId="1DD05B17"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Quảng Nam</w:t>
            </w:r>
          </w:p>
        </w:tc>
        <w:tc>
          <w:tcPr>
            <w:tcW w:w="757" w:type="dxa"/>
            <w:tcBorders>
              <w:top w:val="nil"/>
              <w:left w:val="nil"/>
              <w:bottom w:val="single" w:sz="8" w:space="0" w:color="00000A"/>
              <w:right w:val="single" w:sz="8" w:space="0" w:color="00000A"/>
            </w:tcBorders>
            <w:shd w:val="clear" w:color="000000" w:fill="FFFFFF"/>
            <w:vAlign w:val="bottom"/>
            <w:hideMark/>
          </w:tcPr>
          <w:p w14:paraId="5B343E99" w14:textId="78204C19"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90.51</w:t>
            </w:r>
          </w:p>
        </w:tc>
      </w:tr>
      <w:tr w:rsidR="00994D1E" w:rsidRPr="00994D1E" w14:paraId="18FC758E" w14:textId="77777777" w:rsidTr="00994D1E">
        <w:trPr>
          <w:trHeight w:hRule="exact" w:val="380"/>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3967D7C4"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2</w:t>
            </w:r>
          </w:p>
        </w:tc>
        <w:tc>
          <w:tcPr>
            <w:tcW w:w="1181" w:type="dxa"/>
            <w:tcBorders>
              <w:top w:val="nil"/>
              <w:left w:val="nil"/>
              <w:bottom w:val="single" w:sz="8" w:space="0" w:color="00000A"/>
              <w:right w:val="single" w:sz="8" w:space="0" w:color="00000A"/>
            </w:tcBorders>
            <w:shd w:val="clear" w:color="000000" w:fill="FFFFFF"/>
            <w:vAlign w:val="bottom"/>
            <w:hideMark/>
          </w:tcPr>
          <w:p w14:paraId="5FCD45F4" w14:textId="330A26CC"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Yên Bái</w:t>
            </w:r>
          </w:p>
        </w:tc>
        <w:tc>
          <w:tcPr>
            <w:tcW w:w="540" w:type="dxa"/>
            <w:tcBorders>
              <w:top w:val="nil"/>
              <w:left w:val="nil"/>
              <w:bottom w:val="single" w:sz="8" w:space="0" w:color="00000A"/>
              <w:right w:val="single" w:sz="8" w:space="0" w:color="00000A"/>
            </w:tcBorders>
            <w:shd w:val="clear" w:color="000000" w:fill="FFFFFF"/>
            <w:vAlign w:val="bottom"/>
            <w:hideMark/>
          </w:tcPr>
          <w:p w14:paraId="610193FB" w14:textId="579CA86A"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85.71</w:t>
            </w:r>
          </w:p>
        </w:tc>
        <w:tc>
          <w:tcPr>
            <w:tcW w:w="1512" w:type="dxa"/>
            <w:tcBorders>
              <w:top w:val="nil"/>
              <w:left w:val="nil"/>
              <w:bottom w:val="single" w:sz="8" w:space="0" w:color="00000A"/>
              <w:right w:val="single" w:sz="8" w:space="0" w:color="00000A"/>
            </w:tcBorders>
            <w:shd w:val="clear" w:color="000000" w:fill="FFFFFF"/>
            <w:vAlign w:val="bottom"/>
            <w:hideMark/>
          </w:tcPr>
          <w:p w14:paraId="1496E512" w14:textId="131F091D"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Quảng Ninh</w:t>
            </w:r>
          </w:p>
        </w:tc>
        <w:tc>
          <w:tcPr>
            <w:tcW w:w="972" w:type="dxa"/>
            <w:tcBorders>
              <w:top w:val="nil"/>
              <w:left w:val="nil"/>
              <w:bottom w:val="single" w:sz="8" w:space="0" w:color="00000A"/>
              <w:right w:val="single" w:sz="8" w:space="0" w:color="00000A"/>
            </w:tcBorders>
            <w:shd w:val="clear" w:color="000000" w:fill="FFFFFF"/>
            <w:vAlign w:val="bottom"/>
            <w:hideMark/>
          </w:tcPr>
          <w:p w14:paraId="7BDE91B1" w14:textId="1D1225DE"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81.71</w:t>
            </w:r>
          </w:p>
        </w:tc>
        <w:tc>
          <w:tcPr>
            <w:tcW w:w="1403" w:type="dxa"/>
            <w:tcBorders>
              <w:top w:val="nil"/>
              <w:left w:val="nil"/>
              <w:bottom w:val="single" w:sz="8" w:space="0" w:color="00000A"/>
              <w:right w:val="single" w:sz="8" w:space="0" w:color="00000A"/>
            </w:tcBorders>
            <w:shd w:val="clear" w:color="000000" w:fill="FFFFFF"/>
            <w:vAlign w:val="bottom"/>
            <w:hideMark/>
          </w:tcPr>
          <w:p w14:paraId="24882F4F" w14:textId="3C8CAD17"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Thừa Thiên Huế</w:t>
            </w:r>
          </w:p>
        </w:tc>
        <w:tc>
          <w:tcPr>
            <w:tcW w:w="717" w:type="dxa"/>
            <w:tcBorders>
              <w:top w:val="nil"/>
              <w:left w:val="nil"/>
              <w:bottom w:val="single" w:sz="8" w:space="0" w:color="00000A"/>
              <w:right w:val="single" w:sz="8" w:space="0" w:color="00000A"/>
            </w:tcBorders>
            <w:shd w:val="clear" w:color="000000" w:fill="FFFFFF"/>
            <w:vAlign w:val="bottom"/>
            <w:hideMark/>
          </w:tcPr>
          <w:p w14:paraId="178BB4DB" w14:textId="56044EDC"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65.03</w:t>
            </w:r>
          </w:p>
        </w:tc>
        <w:tc>
          <w:tcPr>
            <w:tcW w:w="1147" w:type="dxa"/>
            <w:tcBorders>
              <w:top w:val="nil"/>
              <w:left w:val="nil"/>
              <w:bottom w:val="single" w:sz="8" w:space="0" w:color="00000A"/>
              <w:right w:val="single" w:sz="8" w:space="0" w:color="00000A"/>
            </w:tcBorders>
            <w:shd w:val="clear" w:color="000000" w:fill="FFFFFF"/>
            <w:vAlign w:val="bottom"/>
            <w:hideMark/>
          </w:tcPr>
          <w:p w14:paraId="65A5F027" w14:textId="479D6CAF"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Đà Nẵng</w:t>
            </w:r>
          </w:p>
        </w:tc>
        <w:tc>
          <w:tcPr>
            <w:tcW w:w="757" w:type="dxa"/>
            <w:tcBorders>
              <w:top w:val="nil"/>
              <w:left w:val="nil"/>
              <w:bottom w:val="single" w:sz="8" w:space="0" w:color="00000A"/>
              <w:right w:val="single" w:sz="8" w:space="0" w:color="00000A"/>
            </w:tcBorders>
            <w:shd w:val="clear" w:color="000000" w:fill="FFFFFF"/>
            <w:vAlign w:val="bottom"/>
            <w:hideMark/>
          </w:tcPr>
          <w:p w14:paraId="29FAE3A8" w14:textId="4C230AEE"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89.95</w:t>
            </w:r>
          </w:p>
        </w:tc>
      </w:tr>
      <w:tr w:rsidR="00994D1E" w:rsidRPr="00994D1E" w14:paraId="5C1B4A61" w14:textId="77777777" w:rsidTr="00994D1E">
        <w:trPr>
          <w:trHeight w:val="300"/>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2836940A"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3</w:t>
            </w:r>
          </w:p>
        </w:tc>
        <w:tc>
          <w:tcPr>
            <w:tcW w:w="1181" w:type="dxa"/>
            <w:tcBorders>
              <w:top w:val="nil"/>
              <w:left w:val="nil"/>
              <w:bottom w:val="single" w:sz="8" w:space="0" w:color="00000A"/>
              <w:right w:val="single" w:sz="8" w:space="0" w:color="00000A"/>
            </w:tcBorders>
            <w:shd w:val="clear" w:color="000000" w:fill="FFFFFF"/>
            <w:vAlign w:val="bottom"/>
            <w:hideMark/>
          </w:tcPr>
          <w:p w14:paraId="50DA1A19" w14:textId="01E4E2BC"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Cao Bằng</w:t>
            </w:r>
          </w:p>
        </w:tc>
        <w:tc>
          <w:tcPr>
            <w:tcW w:w="540" w:type="dxa"/>
            <w:tcBorders>
              <w:top w:val="nil"/>
              <w:left w:val="nil"/>
              <w:bottom w:val="single" w:sz="8" w:space="0" w:color="00000A"/>
              <w:right w:val="single" w:sz="8" w:space="0" w:color="00000A"/>
            </w:tcBorders>
            <w:shd w:val="clear" w:color="000000" w:fill="FFFFFF"/>
            <w:vAlign w:val="bottom"/>
            <w:hideMark/>
          </w:tcPr>
          <w:p w14:paraId="5A282272" w14:textId="1D3A4ECD"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82.9</w:t>
            </w:r>
          </w:p>
        </w:tc>
        <w:tc>
          <w:tcPr>
            <w:tcW w:w="1512" w:type="dxa"/>
            <w:tcBorders>
              <w:top w:val="nil"/>
              <w:left w:val="nil"/>
              <w:bottom w:val="single" w:sz="8" w:space="0" w:color="00000A"/>
              <w:right w:val="single" w:sz="8" w:space="0" w:color="00000A"/>
            </w:tcBorders>
            <w:shd w:val="clear" w:color="000000" w:fill="FFFFFF"/>
            <w:vAlign w:val="bottom"/>
            <w:hideMark/>
          </w:tcPr>
          <w:p w14:paraId="50BE68CC" w14:textId="21BFFB51"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Hà Nội</w:t>
            </w:r>
          </w:p>
        </w:tc>
        <w:tc>
          <w:tcPr>
            <w:tcW w:w="972" w:type="dxa"/>
            <w:tcBorders>
              <w:top w:val="nil"/>
              <w:left w:val="nil"/>
              <w:bottom w:val="single" w:sz="8" w:space="0" w:color="00000A"/>
              <w:right w:val="single" w:sz="8" w:space="0" w:color="00000A"/>
            </w:tcBorders>
            <w:shd w:val="clear" w:color="000000" w:fill="FFFFFF"/>
            <w:vAlign w:val="bottom"/>
            <w:hideMark/>
          </w:tcPr>
          <w:p w14:paraId="33C73DD7" w14:textId="2518342D"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79.59</w:t>
            </w:r>
          </w:p>
        </w:tc>
        <w:tc>
          <w:tcPr>
            <w:tcW w:w="1403" w:type="dxa"/>
            <w:tcBorders>
              <w:top w:val="nil"/>
              <w:left w:val="nil"/>
              <w:bottom w:val="single" w:sz="8" w:space="0" w:color="00000A"/>
              <w:right w:val="single" w:sz="8" w:space="0" w:color="00000A"/>
            </w:tcBorders>
            <w:shd w:val="clear" w:color="000000" w:fill="FFFFFF"/>
            <w:vAlign w:val="bottom"/>
            <w:hideMark/>
          </w:tcPr>
          <w:p w14:paraId="7D9C31E0" w14:textId="312271A2"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Thanh Hóa</w:t>
            </w:r>
          </w:p>
        </w:tc>
        <w:tc>
          <w:tcPr>
            <w:tcW w:w="717" w:type="dxa"/>
            <w:tcBorders>
              <w:top w:val="nil"/>
              <w:left w:val="nil"/>
              <w:bottom w:val="single" w:sz="8" w:space="0" w:color="00000A"/>
              <w:right w:val="single" w:sz="8" w:space="0" w:color="00000A"/>
            </w:tcBorders>
            <w:shd w:val="clear" w:color="000000" w:fill="FFFFFF"/>
            <w:vAlign w:val="bottom"/>
            <w:hideMark/>
          </w:tcPr>
          <w:p w14:paraId="6C32573B" w14:textId="4982C07E"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56.63</w:t>
            </w:r>
          </w:p>
        </w:tc>
        <w:tc>
          <w:tcPr>
            <w:tcW w:w="1147" w:type="dxa"/>
            <w:tcBorders>
              <w:top w:val="nil"/>
              <w:left w:val="nil"/>
              <w:bottom w:val="single" w:sz="8" w:space="0" w:color="00000A"/>
              <w:right w:val="single" w:sz="8" w:space="0" w:color="00000A"/>
            </w:tcBorders>
            <w:shd w:val="clear" w:color="000000" w:fill="FFFFFF"/>
            <w:vAlign w:val="bottom"/>
            <w:hideMark/>
          </w:tcPr>
          <w:p w14:paraId="6249722F" w14:textId="4BD062A9"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Bình Định</w:t>
            </w:r>
          </w:p>
        </w:tc>
        <w:tc>
          <w:tcPr>
            <w:tcW w:w="757" w:type="dxa"/>
            <w:tcBorders>
              <w:top w:val="nil"/>
              <w:left w:val="nil"/>
              <w:bottom w:val="single" w:sz="8" w:space="0" w:color="00000A"/>
              <w:right w:val="single" w:sz="8" w:space="0" w:color="00000A"/>
            </w:tcBorders>
            <w:shd w:val="clear" w:color="000000" w:fill="FFFFFF"/>
            <w:vAlign w:val="bottom"/>
            <w:hideMark/>
          </w:tcPr>
          <w:p w14:paraId="36AE69BD" w14:textId="20AD0E0E"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86.41</w:t>
            </w:r>
          </w:p>
        </w:tc>
      </w:tr>
      <w:tr w:rsidR="00994D1E" w:rsidRPr="00994D1E" w14:paraId="6A2630C0" w14:textId="77777777" w:rsidTr="00994D1E">
        <w:trPr>
          <w:trHeight w:val="300"/>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1E015976"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4</w:t>
            </w:r>
          </w:p>
        </w:tc>
        <w:tc>
          <w:tcPr>
            <w:tcW w:w="1181" w:type="dxa"/>
            <w:tcBorders>
              <w:top w:val="nil"/>
              <w:left w:val="nil"/>
              <w:bottom w:val="single" w:sz="8" w:space="0" w:color="00000A"/>
              <w:right w:val="single" w:sz="8" w:space="0" w:color="00000A"/>
            </w:tcBorders>
            <w:shd w:val="clear" w:color="000000" w:fill="FFFFFF"/>
            <w:vAlign w:val="bottom"/>
            <w:hideMark/>
          </w:tcPr>
          <w:p w14:paraId="34D1BEC3" w14:textId="1C3EF890"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Lai Châu</w:t>
            </w:r>
          </w:p>
        </w:tc>
        <w:tc>
          <w:tcPr>
            <w:tcW w:w="540" w:type="dxa"/>
            <w:tcBorders>
              <w:top w:val="nil"/>
              <w:left w:val="nil"/>
              <w:bottom w:val="single" w:sz="8" w:space="0" w:color="00000A"/>
              <w:right w:val="single" w:sz="8" w:space="0" w:color="00000A"/>
            </w:tcBorders>
            <w:shd w:val="clear" w:color="000000" w:fill="FFFFFF"/>
            <w:vAlign w:val="bottom"/>
            <w:hideMark/>
          </w:tcPr>
          <w:p w14:paraId="6D900FD6" w14:textId="4385CDF4"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79.61</w:t>
            </w:r>
          </w:p>
        </w:tc>
        <w:tc>
          <w:tcPr>
            <w:tcW w:w="1512" w:type="dxa"/>
            <w:tcBorders>
              <w:top w:val="nil"/>
              <w:left w:val="nil"/>
              <w:bottom w:val="single" w:sz="8" w:space="0" w:color="00000A"/>
              <w:right w:val="single" w:sz="8" w:space="0" w:color="00000A"/>
            </w:tcBorders>
            <w:shd w:val="clear" w:color="000000" w:fill="FFFFFF"/>
            <w:vAlign w:val="bottom"/>
            <w:hideMark/>
          </w:tcPr>
          <w:p w14:paraId="4ABC6C25" w14:textId="2249E494"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Hà Nam</w:t>
            </w:r>
          </w:p>
        </w:tc>
        <w:tc>
          <w:tcPr>
            <w:tcW w:w="972" w:type="dxa"/>
            <w:tcBorders>
              <w:top w:val="nil"/>
              <w:left w:val="nil"/>
              <w:bottom w:val="single" w:sz="8" w:space="0" w:color="00000A"/>
              <w:right w:val="single" w:sz="8" w:space="0" w:color="00000A"/>
            </w:tcBorders>
            <w:shd w:val="clear" w:color="000000" w:fill="FFFFFF"/>
            <w:vAlign w:val="bottom"/>
            <w:hideMark/>
          </w:tcPr>
          <w:p w14:paraId="398D9465" w14:textId="3E3726E1"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77.8</w:t>
            </w:r>
          </w:p>
        </w:tc>
        <w:tc>
          <w:tcPr>
            <w:tcW w:w="1403" w:type="dxa"/>
            <w:tcBorders>
              <w:top w:val="nil"/>
              <w:left w:val="nil"/>
              <w:bottom w:val="single" w:sz="8" w:space="0" w:color="00000A"/>
              <w:right w:val="single" w:sz="8" w:space="0" w:color="00000A"/>
            </w:tcBorders>
            <w:shd w:val="clear" w:color="000000" w:fill="FFFFFF"/>
            <w:vAlign w:val="bottom"/>
            <w:hideMark/>
          </w:tcPr>
          <w:p w14:paraId="0782AF13" w14:textId="2A23CFBA"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Quảng Bình</w:t>
            </w:r>
          </w:p>
        </w:tc>
        <w:tc>
          <w:tcPr>
            <w:tcW w:w="717" w:type="dxa"/>
            <w:tcBorders>
              <w:top w:val="nil"/>
              <w:left w:val="nil"/>
              <w:bottom w:val="single" w:sz="8" w:space="0" w:color="00000A"/>
              <w:right w:val="single" w:sz="8" w:space="0" w:color="00000A"/>
            </w:tcBorders>
            <w:shd w:val="clear" w:color="000000" w:fill="FFFFFF"/>
            <w:vAlign w:val="bottom"/>
            <w:hideMark/>
          </w:tcPr>
          <w:p w14:paraId="3B833136" w14:textId="7948E118"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38.39</w:t>
            </w:r>
          </w:p>
        </w:tc>
        <w:tc>
          <w:tcPr>
            <w:tcW w:w="1147" w:type="dxa"/>
            <w:tcBorders>
              <w:top w:val="nil"/>
              <w:left w:val="nil"/>
              <w:bottom w:val="single" w:sz="8" w:space="0" w:color="00000A"/>
              <w:right w:val="single" w:sz="8" w:space="0" w:color="00000A"/>
            </w:tcBorders>
            <w:shd w:val="clear" w:color="000000" w:fill="FFFFFF"/>
            <w:vAlign w:val="bottom"/>
            <w:hideMark/>
          </w:tcPr>
          <w:p w14:paraId="3303BF22" w14:textId="02E3133E"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Khánh Hòa</w:t>
            </w:r>
          </w:p>
        </w:tc>
        <w:tc>
          <w:tcPr>
            <w:tcW w:w="757" w:type="dxa"/>
            <w:tcBorders>
              <w:top w:val="nil"/>
              <w:left w:val="nil"/>
              <w:bottom w:val="single" w:sz="8" w:space="0" w:color="00000A"/>
              <w:right w:val="single" w:sz="8" w:space="0" w:color="00000A"/>
            </w:tcBorders>
            <w:shd w:val="clear" w:color="000000" w:fill="FFFFFF"/>
            <w:vAlign w:val="bottom"/>
            <w:hideMark/>
          </w:tcPr>
          <w:p w14:paraId="31C83F03" w14:textId="4B068E92"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80.9</w:t>
            </w:r>
          </w:p>
        </w:tc>
      </w:tr>
      <w:tr w:rsidR="00994D1E" w:rsidRPr="00994D1E" w14:paraId="6C50B098" w14:textId="77777777" w:rsidTr="00994D1E">
        <w:trPr>
          <w:trHeight w:val="300"/>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56292DB6"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5</w:t>
            </w:r>
          </w:p>
        </w:tc>
        <w:tc>
          <w:tcPr>
            <w:tcW w:w="1181" w:type="dxa"/>
            <w:tcBorders>
              <w:top w:val="nil"/>
              <w:left w:val="nil"/>
              <w:bottom w:val="single" w:sz="8" w:space="0" w:color="00000A"/>
              <w:right w:val="single" w:sz="8" w:space="0" w:color="00000A"/>
            </w:tcBorders>
            <w:shd w:val="clear" w:color="000000" w:fill="FFFFFF"/>
            <w:vAlign w:val="bottom"/>
            <w:hideMark/>
          </w:tcPr>
          <w:p w14:paraId="04CB718B" w14:textId="1343BFB1"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Bắc Kạn</w:t>
            </w:r>
          </w:p>
        </w:tc>
        <w:tc>
          <w:tcPr>
            <w:tcW w:w="540" w:type="dxa"/>
            <w:tcBorders>
              <w:top w:val="nil"/>
              <w:left w:val="nil"/>
              <w:bottom w:val="single" w:sz="8" w:space="0" w:color="00000A"/>
              <w:right w:val="single" w:sz="8" w:space="0" w:color="00000A"/>
            </w:tcBorders>
            <w:shd w:val="clear" w:color="000000" w:fill="FFFFFF"/>
            <w:vAlign w:val="bottom"/>
            <w:hideMark/>
          </w:tcPr>
          <w:p w14:paraId="0BCF8D7C" w14:textId="71FCF9FA"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77.97</w:t>
            </w:r>
          </w:p>
        </w:tc>
        <w:tc>
          <w:tcPr>
            <w:tcW w:w="1512" w:type="dxa"/>
            <w:tcBorders>
              <w:top w:val="nil"/>
              <w:left w:val="nil"/>
              <w:bottom w:val="single" w:sz="8" w:space="0" w:color="00000A"/>
              <w:right w:val="single" w:sz="8" w:space="0" w:color="00000A"/>
            </w:tcBorders>
            <w:shd w:val="clear" w:color="000000" w:fill="FFFFFF"/>
            <w:vAlign w:val="bottom"/>
            <w:hideMark/>
          </w:tcPr>
          <w:p w14:paraId="34737310" w14:textId="4E30CAF9"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Bắc Ninh</w:t>
            </w:r>
          </w:p>
        </w:tc>
        <w:tc>
          <w:tcPr>
            <w:tcW w:w="972" w:type="dxa"/>
            <w:tcBorders>
              <w:top w:val="nil"/>
              <w:left w:val="nil"/>
              <w:bottom w:val="single" w:sz="8" w:space="0" w:color="00000A"/>
              <w:right w:val="single" w:sz="8" w:space="0" w:color="00000A"/>
            </w:tcBorders>
            <w:shd w:val="clear" w:color="000000" w:fill="FFFFFF"/>
            <w:vAlign w:val="bottom"/>
            <w:hideMark/>
          </w:tcPr>
          <w:p w14:paraId="4C11FC50" w14:textId="0E710C1D"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76.8</w:t>
            </w:r>
          </w:p>
        </w:tc>
        <w:tc>
          <w:tcPr>
            <w:tcW w:w="1403" w:type="dxa"/>
            <w:tcBorders>
              <w:top w:val="nil"/>
              <w:left w:val="nil"/>
              <w:bottom w:val="single" w:sz="8" w:space="0" w:color="00000A"/>
              <w:right w:val="single" w:sz="8" w:space="0" w:color="00000A"/>
            </w:tcBorders>
            <w:shd w:val="clear" w:color="000000" w:fill="FFFFFF"/>
            <w:vAlign w:val="bottom"/>
            <w:hideMark/>
          </w:tcPr>
          <w:p w14:paraId="6909582F" w14:textId="4A3A7D3A"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Nghệ An</w:t>
            </w:r>
          </w:p>
        </w:tc>
        <w:tc>
          <w:tcPr>
            <w:tcW w:w="717" w:type="dxa"/>
            <w:tcBorders>
              <w:top w:val="nil"/>
              <w:left w:val="nil"/>
              <w:bottom w:val="single" w:sz="8" w:space="0" w:color="00000A"/>
              <w:right w:val="single" w:sz="8" w:space="0" w:color="00000A"/>
            </w:tcBorders>
            <w:shd w:val="clear" w:color="000000" w:fill="FFFFFF"/>
            <w:vAlign w:val="bottom"/>
            <w:hideMark/>
          </w:tcPr>
          <w:p w14:paraId="2688FC16" w14:textId="5FA82CD0"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37.12</w:t>
            </w:r>
          </w:p>
        </w:tc>
        <w:tc>
          <w:tcPr>
            <w:tcW w:w="1147" w:type="dxa"/>
            <w:tcBorders>
              <w:top w:val="nil"/>
              <w:left w:val="nil"/>
              <w:bottom w:val="single" w:sz="8" w:space="0" w:color="00000A"/>
              <w:right w:val="single" w:sz="8" w:space="0" w:color="00000A"/>
            </w:tcBorders>
            <w:shd w:val="clear" w:color="000000" w:fill="FFFFFF"/>
            <w:vAlign w:val="bottom"/>
            <w:hideMark/>
          </w:tcPr>
          <w:p w14:paraId="703B98E1" w14:textId="52185A3E"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Ninh Thuận</w:t>
            </w:r>
          </w:p>
        </w:tc>
        <w:tc>
          <w:tcPr>
            <w:tcW w:w="757" w:type="dxa"/>
            <w:tcBorders>
              <w:top w:val="nil"/>
              <w:left w:val="nil"/>
              <w:bottom w:val="single" w:sz="8" w:space="0" w:color="00000A"/>
              <w:right w:val="single" w:sz="8" w:space="0" w:color="00000A"/>
            </w:tcBorders>
            <w:shd w:val="clear" w:color="000000" w:fill="FFFFFF"/>
            <w:vAlign w:val="bottom"/>
            <w:hideMark/>
          </w:tcPr>
          <w:p w14:paraId="3964D51E" w14:textId="51A118DC"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79.05</w:t>
            </w:r>
          </w:p>
        </w:tc>
      </w:tr>
      <w:tr w:rsidR="00994D1E" w:rsidRPr="00994D1E" w14:paraId="69DD2287" w14:textId="77777777" w:rsidTr="00994D1E">
        <w:trPr>
          <w:trHeight w:val="300"/>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6E93A91B"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6</w:t>
            </w:r>
          </w:p>
        </w:tc>
        <w:tc>
          <w:tcPr>
            <w:tcW w:w="1181" w:type="dxa"/>
            <w:tcBorders>
              <w:top w:val="nil"/>
              <w:left w:val="nil"/>
              <w:bottom w:val="single" w:sz="8" w:space="0" w:color="00000A"/>
              <w:right w:val="single" w:sz="8" w:space="0" w:color="00000A"/>
            </w:tcBorders>
            <w:shd w:val="clear" w:color="000000" w:fill="FFFFFF"/>
            <w:vAlign w:val="bottom"/>
            <w:hideMark/>
          </w:tcPr>
          <w:p w14:paraId="31CB749C" w14:textId="02EF0609"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Điện Biên</w:t>
            </w:r>
          </w:p>
        </w:tc>
        <w:tc>
          <w:tcPr>
            <w:tcW w:w="540" w:type="dxa"/>
            <w:tcBorders>
              <w:top w:val="nil"/>
              <w:left w:val="nil"/>
              <w:bottom w:val="single" w:sz="8" w:space="0" w:color="00000A"/>
              <w:right w:val="single" w:sz="8" w:space="0" w:color="00000A"/>
            </w:tcBorders>
            <w:shd w:val="clear" w:color="000000" w:fill="FFFFFF"/>
            <w:vAlign w:val="bottom"/>
            <w:hideMark/>
          </w:tcPr>
          <w:p w14:paraId="65454BA1" w14:textId="45591539"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72.86</w:t>
            </w:r>
          </w:p>
        </w:tc>
        <w:tc>
          <w:tcPr>
            <w:tcW w:w="1512" w:type="dxa"/>
            <w:tcBorders>
              <w:top w:val="nil"/>
              <w:left w:val="nil"/>
              <w:bottom w:val="single" w:sz="8" w:space="0" w:color="00000A"/>
              <w:right w:val="single" w:sz="8" w:space="0" w:color="00000A"/>
            </w:tcBorders>
            <w:shd w:val="clear" w:color="000000" w:fill="FFFFFF"/>
            <w:vAlign w:val="bottom"/>
            <w:hideMark/>
          </w:tcPr>
          <w:p w14:paraId="2E7339DA" w14:textId="36DEE132"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Thái Bình</w:t>
            </w:r>
          </w:p>
        </w:tc>
        <w:tc>
          <w:tcPr>
            <w:tcW w:w="972" w:type="dxa"/>
            <w:tcBorders>
              <w:top w:val="nil"/>
              <w:left w:val="nil"/>
              <w:bottom w:val="single" w:sz="8" w:space="0" w:color="00000A"/>
              <w:right w:val="single" w:sz="8" w:space="0" w:color="00000A"/>
            </w:tcBorders>
            <w:shd w:val="clear" w:color="000000" w:fill="FFFFFF"/>
            <w:vAlign w:val="bottom"/>
            <w:hideMark/>
          </w:tcPr>
          <w:p w14:paraId="157F3C49" w14:textId="76631B9E"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71.02</w:t>
            </w:r>
          </w:p>
        </w:tc>
        <w:tc>
          <w:tcPr>
            <w:tcW w:w="1403" w:type="dxa"/>
            <w:tcBorders>
              <w:top w:val="nil"/>
              <w:left w:val="nil"/>
              <w:bottom w:val="single" w:sz="8" w:space="0" w:color="00000A"/>
              <w:right w:val="single" w:sz="8" w:space="0" w:color="00000A"/>
            </w:tcBorders>
            <w:shd w:val="clear" w:color="000000" w:fill="FFFFFF"/>
            <w:vAlign w:val="bottom"/>
            <w:hideMark/>
          </w:tcPr>
          <w:p w14:paraId="4D387910" w14:textId="1C138A6F"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Hà Tĩnh</w:t>
            </w:r>
          </w:p>
        </w:tc>
        <w:tc>
          <w:tcPr>
            <w:tcW w:w="717" w:type="dxa"/>
            <w:tcBorders>
              <w:top w:val="nil"/>
              <w:left w:val="nil"/>
              <w:bottom w:val="single" w:sz="8" w:space="0" w:color="00000A"/>
              <w:right w:val="single" w:sz="8" w:space="0" w:color="00000A"/>
            </w:tcBorders>
            <w:shd w:val="clear" w:color="000000" w:fill="FFFFFF"/>
            <w:vAlign w:val="bottom"/>
            <w:hideMark/>
          </w:tcPr>
          <w:p w14:paraId="0A892BAA" w14:textId="4176596F"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34.58</w:t>
            </w:r>
          </w:p>
        </w:tc>
        <w:tc>
          <w:tcPr>
            <w:tcW w:w="1147" w:type="dxa"/>
            <w:tcBorders>
              <w:top w:val="nil"/>
              <w:left w:val="nil"/>
              <w:bottom w:val="single" w:sz="8" w:space="0" w:color="00000A"/>
              <w:right w:val="single" w:sz="8" w:space="0" w:color="00000A"/>
            </w:tcBorders>
            <w:shd w:val="clear" w:color="000000" w:fill="FFFFFF"/>
            <w:vAlign w:val="bottom"/>
            <w:hideMark/>
          </w:tcPr>
          <w:p w14:paraId="4B5CCBDC" w14:textId="38F70DC2"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Bình Thuận</w:t>
            </w:r>
          </w:p>
        </w:tc>
        <w:tc>
          <w:tcPr>
            <w:tcW w:w="757" w:type="dxa"/>
            <w:tcBorders>
              <w:top w:val="nil"/>
              <w:left w:val="nil"/>
              <w:bottom w:val="single" w:sz="8" w:space="0" w:color="00000A"/>
              <w:right w:val="single" w:sz="8" w:space="0" w:color="00000A"/>
            </w:tcBorders>
            <w:shd w:val="clear" w:color="000000" w:fill="FFFFFF"/>
            <w:vAlign w:val="bottom"/>
            <w:hideMark/>
          </w:tcPr>
          <w:p w14:paraId="42058C1E" w14:textId="03A60956"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75.54</w:t>
            </w:r>
          </w:p>
        </w:tc>
      </w:tr>
      <w:tr w:rsidR="00994D1E" w:rsidRPr="00994D1E" w14:paraId="0542CF67" w14:textId="77777777" w:rsidTr="00994D1E">
        <w:trPr>
          <w:trHeight w:val="300"/>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638287C2"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7</w:t>
            </w:r>
          </w:p>
        </w:tc>
        <w:tc>
          <w:tcPr>
            <w:tcW w:w="1181" w:type="dxa"/>
            <w:tcBorders>
              <w:top w:val="nil"/>
              <w:left w:val="nil"/>
              <w:bottom w:val="single" w:sz="8" w:space="0" w:color="00000A"/>
              <w:right w:val="single" w:sz="8" w:space="0" w:color="00000A"/>
            </w:tcBorders>
            <w:shd w:val="clear" w:color="000000" w:fill="FFFFFF"/>
            <w:vAlign w:val="bottom"/>
            <w:hideMark/>
          </w:tcPr>
          <w:p w14:paraId="219EFAD7" w14:textId="01BB9754"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Hà Giang</w:t>
            </w:r>
          </w:p>
        </w:tc>
        <w:tc>
          <w:tcPr>
            <w:tcW w:w="540" w:type="dxa"/>
            <w:tcBorders>
              <w:top w:val="nil"/>
              <w:left w:val="nil"/>
              <w:bottom w:val="single" w:sz="8" w:space="0" w:color="00000A"/>
              <w:right w:val="single" w:sz="8" w:space="0" w:color="00000A"/>
            </w:tcBorders>
            <w:shd w:val="clear" w:color="000000" w:fill="FFFFFF"/>
            <w:vAlign w:val="bottom"/>
            <w:hideMark/>
          </w:tcPr>
          <w:p w14:paraId="6B09CA04" w14:textId="3705C112"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72.69</w:t>
            </w:r>
          </w:p>
        </w:tc>
        <w:tc>
          <w:tcPr>
            <w:tcW w:w="1512" w:type="dxa"/>
            <w:tcBorders>
              <w:top w:val="nil"/>
              <w:left w:val="nil"/>
              <w:bottom w:val="single" w:sz="8" w:space="0" w:color="00000A"/>
              <w:right w:val="single" w:sz="8" w:space="0" w:color="00000A"/>
            </w:tcBorders>
            <w:shd w:val="clear" w:color="000000" w:fill="FFFFFF"/>
            <w:vAlign w:val="bottom"/>
            <w:hideMark/>
          </w:tcPr>
          <w:p w14:paraId="7197F954" w14:textId="2DAD28A4"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Hải Phòng</w:t>
            </w:r>
          </w:p>
        </w:tc>
        <w:tc>
          <w:tcPr>
            <w:tcW w:w="972" w:type="dxa"/>
            <w:tcBorders>
              <w:top w:val="nil"/>
              <w:left w:val="nil"/>
              <w:bottom w:val="single" w:sz="8" w:space="0" w:color="00000A"/>
              <w:right w:val="single" w:sz="8" w:space="0" w:color="00000A"/>
            </w:tcBorders>
            <w:shd w:val="clear" w:color="000000" w:fill="FFFFFF"/>
            <w:vAlign w:val="bottom"/>
            <w:hideMark/>
          </w:tcPr>
          <w:p w14:paraId="6E4511B6" w14:textId="0F5D52B2"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68.75</w:t>
            </w:r>
          </w:p>
        </w:tc>
        <w:tc>
          <w:tcPr>
            <w:tcW w:w="2120" w:type="dxa"/>
            <w:gridSpan w:val="2"/>
            <w:vMerge w:val="restart"/>
            <w:tcBorders>
              <w:top w:val="single" w:sz="8" w:space="0" w:color="00000A"/>
              <w:left w:val="nil"/>
              <w:bottom w:val="single" w:sz="8" w:space="0" w:color="000000"/>
              <w:right w:val="single" w:sz="8" w:space="0" w:color="000000"/>
            </w:tcBorders>
            <w:shd w:val="clear" w:color="auto" w:fill="auto"/>
            <w:vAlign w:val="center"/>
            <w:hideMark/>
          </w:tcPr>
          <w:p w14:paraId="6AC5593E" w14:textId="77777777"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Calibri"/>
                <w:color w:val="000000"/>
                <w:sz w:val="18"/>
                <w:szCs w:val="18"/>
              </w:rPr>
              <w:t> </w:t>
            </w:r>
          </w:p>
        </w:tc>
        <w:tc>
          <w:tcPr>
            <w:tcW w:w="1147" w:type="dxa"/>
            <w:tcBorders>
              <w:top w:val="nil"/>
              <w:left w:val="nil"/>
              <w:bottom w:val="single" w:sz="8" w:space="0" w:color="00000A"/>
              <w:right w:val="single" w:sz="8" w:space="0" w:color="00000A"/>
            </w:tcBorders>
            <w:shd w:val="clear" w:color="000000" w:fill="FFFFFF"/>
            <w:vAlign w:val="center"/>
            <w:hideMark/>
          </w:tcPr>
          <w:p w14:paraId="2FFD8F8B" w14:textId="77777777"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Calibri"/>
                <w:color w:val="000000"/>
                <w:sz w:val="18"/>
                <w:szCs w:val="18"/>
              </w:rPr>
              <w:t>Quảng Ngãi</w:t>
            </w:r>
          </w:p>
        </w:tc>
        <w:tc>
          <w:tcPr>
            <w:tcW w:w="757" w:type="dxa"/>
            <w:tcBorders>
              <w:top w:val="nil"/>
              <w:left w:val="nil"/>
              <w:bottom w:val="single" w:sz="8" w:space="0" w:color="00000A"/>
              <w:right w:val="single" w:sz="8" w:space="0" w:color="00000A"/>
            </w:tcBorders>
            <w:shd w:val="clear" w:color="000000" w:fill="FFFFFF"/>
            <w:vAlign w:val="bottom"/>
            <w:hideMark/>
          </w:tcPr>
          <w:p w14:paraId="2D789041" w14:textId="66DCC8FB"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color w:val="000000"/>
                <w:sz w:val="18"/>
                <w:szCs w:val="18"/>
              </w:rPr>
              <w:t>Phú Yên</w:t>
            </w:r>
          </w:p>
        </w:tc>
      </w:tr>
      <w:tr w:rsidR="00994D1E" w:rsidRPr="00994D1E" w14:paraId="5F96D3B5" w14:textId="77777777" w:rsidTr="00994D1E">
        <w:trPr>
          <w:trHeight w:val="300"/>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6F1B6853"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8</w:t>
            </w:r>
          </w:p>
        </w:tc>
        <w:tc>
          <w:tcPr>
            <w:tcW w:w="1181" w:type="dxa"/>
            <w:tcBorders>
              <w:top w:val="nil"/>
              <w:left w:val="nil"/>
              <w:bottom w:val="single" w:sz="8" w:space="0" w:color="00000A"/>
              <w:right w:val="single" w:sz="8" w:space="0" w:color="00000A"/>
            </w:tcBorders>
            <w:shd w:val="clear" w:color="000000" w:fill="FFFFFF"/>
            <w:vAlign w:val="bottom"/>
            <w:hideMark/>
          </w:tcPr>
          <w:p w14:paraId="097E240E" w14:textId="2F8AEB6C"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Lào Cai</w:t>
            </w:r>
          </w:p>
        </w:tc>
        <w:tc>
          <w:tcPr>
            <w:tcW w:w="540" w:type="dxa"/>
            <w:tcBorders>
              <w:top w:val="nil"/>
              <w:left w:val="nil"/>
              <w:bottom w:val="single" w:sz="8" w:space="0" w:color="00000A"/>
              <w:right w:val="single" w:sz="8" w:space="0" w:color="00000A"/>
            </w:tcBorders>
            <w:shd w:val="clear" w:color="000000" w:fill="FFFFFF"/>
            <w:vAlign w:val="bottom"/>
            <w:hideMark/>
          </w:tcPr>
          <w:p w14:paraId="4739CFC7" w14:textId="79EE5051"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71.25</w:t>
            </w:r>
          </w:p>
        </w:tc>
        <w:tc>
          <w:tcPr>
            <w:tcW w:w="1512" w:type="dxa"/>
            <w:tcBorders>
              <w:top w:val="nil"/>
              <w:left w:val="nil"/>
              <w:bottom w:val="single" w:sz="8" w:space="0" w:color="00000A"/>
              <w:right w:val="single" w:sz="8" w:space="0" w:color="00000A"/>
            </w:tcBorders>
            <w:shd w:val="clear" w:color="000000" w:fill="FFFFFF"/>
            <w:vAlign w:val="bottom"/>
            <w:hideMark/>
          </w:tcPr>
          <w:p w14:paraId="0FE4E2F5" w14:textId="75AE8A64"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Vĩnh Phúc</w:t>
            </w:r>
          </w:p>
        </w:tc>
        <w:tc>
          <w:tcPr>
            <w:tcW w:w="972" w:type="dxa"/>
            <w:tcBorders>
              <w:top w:val="nil"/>
              <w:left w:val="nil"/>
              <w:bottom w:val="single" w:sz="8" w:space="0" w:color="00000A"/>
              <w:right w:val="single" w:sz="8" w:space="0" w:color="00000A"/>
            </w:tcBorders>
            <w:shd w:val="clear" w:color="000000" w:fill="FFFFFF"/>
            <w:vAlign w:val="bottom"/>
            <w:hideMark/>
          </w:tcPr>
          <w:p w14:paraId="5AE3866D" w14:textId="53FEF4CF"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64.51</w:t>
            </w:r>
          </w:p>
        </w:tc>
        <w:tc>
          <w:tcPr>
            <w:tcW w:w="2120" w:type="dxa"/>
            <w:gridSpan w:val="2"/>
            <w:vMerge/>
            <w:tcBorders>
              <w:top w:val="nil"/>
              <w:left w:val="nil"/>
              <w:bottom w:val="single" w:sz="8" w:space="0" w:color="00000A"/>
              <w:right w:val="single" w:sz="8" w:space="0" w:color="00000A"/>
            </w:tcBorders>
            <w:vAlign w:val="center"/>
            <w:hideMark/>
          </w:tcPr>
          <w:p w14:paraId="65A8F0FE"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c>
          <w:tcPr>
            <w:tcW w:w="1147" w:type="dxa"/>
            <w:tcBorders>
              <w:top w:val="nil"/>
              <w:left w:val="nil"/>
              <w:bottom w:val="single" w:sz="8" w:space="0" w:color="00000A"/>
              <w:right w:val="single" w:sz="8" w:space="0" w:color="00000A"/>
            </w:tcBorders>
            <w:shd w:val="clear" w:color="000000" w:fill="FFFFFF"/>
            <w:vAlign w:val="center"/>
            <w:hideMark/>
          </w:tcPr>
          <w:p w14:paraId="1D32219C" w14:textId="77777777"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Calibri"/>
                <w:color w:val="000000"/>
                <w:sz w:val="18"/>
                <w:szCs w:val="18"/>
              </w:rPr>
              <w:t>Ninh Thuận</w:t>
            </w:r>
          </w:p>
        </w:tc>
        <w:tc>
          <w:tcPr>
            <w:tcW w:w="757" w:type="dxa"/>
            <w:tcBorders>
              <w:top w:val="nil"/>
              <w:left w:val="nil"/>
              <w:bottom w:val="single" w:sz="8" w:space="0" w:color="00000A"/>
              <w:right w:val="single" w:sz="8" w:space="0" w:color="00000A"/>
            </w:tcBorders>
            <w:shd w:val="clear" w:color="000000" w:fill="FFFFFF"/>
            <w:vAlign w:val="bottom"/>
            <w:hideMark/>
          </w:tcPr>
          <w:p w14:paraId="27400F47" w14:textId="79C54488"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color w:val="000000"/>
                <w:sz w:val="18"/>
                <w:szCs w:val="18"/>
              </w:rPr>
              <w:t>Quảng Ngãi</w:t>
            </w:r>
          </w:p>
        </w:tc>
      </w:tr>
      <w:tr w:rsidR="00994D1E" w:rsidRPr="00994D1E" w14:paraId="71404C58" w14:textId="77777777" w:rsidTr="00994D1E">
        <w:trPr>
          <w:trHeight w:val="300"/>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3844BA72"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9</w:t>
            </w:r>
          </w:p>
        </w:tc>
        <w:tc>
          <w:tcPr>
            <w:tcW w:w="1181" w:type="dxa"/>
            <w:tcBorders>
              <w:top w:val="nil"/>
              <w:left w:val="nil"/>
              <w:bottom w:val="single" w:sz="8" w:space="0" w:color="00000A"/>
              <w:right w:val="single" w:sz="8" w:space="0" w:color="00000A"/>
            </w:tcBorders>
            <w:shd w:val="clear" w:color="000000" w:fill="FFFFFF"/>
            <w:vAlign w:val="bottom"/>
            <w:hideMark/>
          </w:tcPr>
          <w:p w14:paraId="3FB16C46" w14:textId="09E50D6A"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Phú Thọ</w:t>
            </w:r>
          </w:p>
        </w:tc>
        <w:tc>
          <w:tcPr>
            <w:tcW w:w="540" w:type="dxa"/>
            <w:tcBorders>
              <w:top w:val="nil"/>
              <w:left w:val="nil"/>
              <w:bottom w:val="single" w:sz="8" w:space="0" w:color="00000A"/>
              <w:right w:val="single" w:sz="8" w:space="0" w:color="00000A"/>
            </w:tcBorders>
            <w:shd w:val="clear" w:color="000000" w:fill="FFFFFF"/>
            <w:vAlign w:val="bottom"/>
            <w:hideMark/>
          </w:tcPr>
          <w:p w14:paraId="14939080" w14:textId="44B89001"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68.88</w:t>
            </w:r>
          </w:p>
        </w:tc>
        <w:tc>
          <w:tcPr>
            <w:tcW w:w="1512" w:type="dxa"/>
            <w:tcBorders>
              <w:top w:val="nil"/>
              <w:left w:val="nil"/>
              <w:bottom w:val="single" w:sz="8" w:space="0" w:color="00000A"/>
              <w:right w:val="single" w:sz="8" w:space="0" w:color="00000A"/>
            </w:tcBorders>
            <w:shd w:val="clear" w:color="000000" w:fill="FFFFFF"/>
            <w:vAlign w:val="bottom"/>
            <w:hideMark/>
          </w:tcPr>
          <w:p w14:paraId="7C1B3485" w14:textId="38F66AF3"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Hưng Yên</w:t>
            </w:r>
          </w:p>
        </w:tc>
        <w:tc>
          <w:tcPr>
            <w:tcW w:w="972" w:type="dxa"/>
            <w:tcBorders>
              <w:top w:val="nil"/>
              <w:left w:val="nil"/>
              <w:bottom w:val="single" w:sz="8" w:space="0" w:color="00000A"/>
              <w:right w:val="single" w:sz="8" w:space="0" w:color="00000A"/>
            </w:tcBorders>
            <w:shd w:val="clear" w:color="000000" w:fill="FFFFFF"/>
            <w:vAlign w:val="bottom"/>
            <w:hideMark/>
          </w:tcPr>
          <w:p w14:paraId="3ABAD119" w14:textId="058598B3"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50.95</w:t>
            </w:r>
          </w:p>
        </w:tc>
        <w:tc>
          <w:tcPr>
            <w:tcW w:w="2120" w:type="dxa"/>
            <w:gridSpan w:val="2"/>
            <w:vMerge/>
            <w:tcBorders>
              <w:top w:val="nil"/>
              <w:left w:val="nil"/>
              <w:bottom w:val="single" w:sz="8" w:space="0" w:color="00000A"/>
              <w:right w:val="single" w:sz="8" w:space="0" w:color="00000A"/>
            </w:tcBorders>
            <w:vAlign w:val="center"/>
            <w:hideMark/>
          </w:tcPr>
          <w:p w14:paraId="2BF46C72"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c>
          <w:tcPr>
            <w:tcW w:w="1904" w:type="dxa"/>
            <w:gridSpan w:val="2"/>
            <w:vMerge w:val="restart"/>
            <w:tcBorders>
              <w:top w:val="single" w:sz="8" w:space="0" w:color="00000A"/>
              <w:left w:val="nil"/>
              <w:bottom w:val="single" w:sz="8" w:space="0" w:color="000000"/>
              <w:right w:val="single" w:sz="8" w:space="0" w:color="000000"/>
            </w:tcBorders>
            <w:shd w:val="clear" w:color="auto" w:fill="auto"/>
            <w:vAlign w:val="center"/>
            <w:hideMark/>
          </w:tcPr>
          <w:p w14:paraId="5AF12C60" w14:textId="77777777"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Calibri"/>
                <w:color w:val="000000"/>
                <w:sz w:val="18"/>
                <w:szCs w:val="18"/>
              </w:rPr>
              <w:t> </w:t>
            </w:r>
          </w:p>
        </w:tc>
      </w:tr>
      <w:tr w:rsidR="00994D1E" w:rsidRPr="00994D1E" w14:paraId="2A4756C0" w14:textId="77777777" w:rsidTr="00994D1E">
        <w:trPr>
          <w:trHeight w:val="300"/>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4ABDB445"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10</w:t>
            </w:r>
          </w:p>
        </w:tc>
        <w:tc>
          <w:tcPr>
            <w:tcW w:w="1181" w:type="dxa"/>
            <w:tcBorders>
              <w:top w:val="nil"/>
              <w:left w:val="nil"/>
              <w:bottom w:val="single" w:sz="8" w:space="0" w:color="00000A"/>
              <w:right w:val="single" w:sz="8" w:space="0" w:color="00000A"/>
            </w:tcBorders>
            <w:shd w:val="clear" w:color="000000" w:fill="FFFFFF"/>
            <w:vAlign w:val="bottom"/>
            <w:hideMark/>
          </w:tcPr>
          <w:p w14:paraId="6AB98EE9" w14:textId="03D00F06"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Sơn La</w:t>
            </w:r>
          </w:p>
        </w:tc>
        <w:tc>
          <w:tcPr>
            <w:tcW w:w="540" w:type="dxa"/>
            <w:tcBorders>
              <w:top w:val="nil"/>
              <w:left w:val="nil"/>
              <w:bottom w:val="single" w:sz="8" w:space="0" w:color="00000A"/>
              <w:right w:val="single" w:sz="8" w:space="0" w:color="00000A"/>
            </w:tcBorders>
            <w:shd w:val="clear" w:color="000000" w:fill="FFFFFF"/>
            <w:vAlign w:val="bottom"/>
            <w:hideMark/>
          </w:tcPr>
          <w:p w14:paraId="6BAC644C" w14:textId="3E6958A2"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65.37</w:t>
            </w:r>
          </w:p>
        </w:tc>
        <w:tc>
          <w:tcPr>
            <w:tcW w:w="1512" w:type="dxa"/>
            <w:tcBorders>
              <w:top w:val="nil"/>
              <w:left w:val="nil"/>
              <w:bottom w:val="nil"/>
              <w:right w:val="single" w:sz="8" w:space="0" w:color="00000A"/>
            </w:tcBorders>
            <w:shd w:val="clear" w:color="000000" w:fill="FFFFFF"/>
            <w:vAlign w:val="bottom"/>
            <w:hideMark/>
          </w:tcPr>
          <w:p w14:paraId="4F90A7C7" w14:textId="33B0413A"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Ninh Bình</w:t>
            </w:r>
          </w:p>
        </w:tc>
        <w:tc>
          <w:tcPr>
            <w:tcW w:w="972" w:type="dxa"/>
            <w:tcBorders>
              <w:top w:val="nil"/>
              <w:left w:val="nil"/>
              <w:bottom w:val="nil"/>
              <w:right w:val="single" w:sz="8" w:space="0" w:color="00000A"/>
            </w:tcBorders>
            <w:shd w:val="clear" w:color="000000" w:fill="FFFFFF"/>
            <w:vAlign w:val="bottom"/>
            <w:hideMark/>
          </w:tcPr>
          <w:p w14:paraId="7B8153FB" w14:textId="59E75B6B"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48.69</w:t>
            </w:r>
          </w:p>
        </w:tc>
        <w:tc>
          <w:tcPr>
            <w:tcW w:w="2120" w:type="dxa"/>
            <w:gridSpan w:val="2"/>
            <w:vMerge/>
            <w:tcBorders>
              <w:top w:val="nil"/>
              <w:left w:val="nil"/>
              <w:bottom w:val="nil"/>
              <w:right w:val="single" w:sz="8" w:space="0" w:color="00000A"/>
            </w:tcBorders>
            <w:vAlign w:val="center"/>
            <w:hideMark/>
          </w:tcPr>
          <w:p w14:paraId="2B7FCA75"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c>
          <w:tcPr>
            <w:tcW w:w="1904" w:type="dxa"/>
            <w:gridSpan w:val="2"/>
            <w:vMerge/>
            <w:tcBorders>
              <w:top w:val="nil"/>
              <w:left w:val="nil"/>
              <w:bottom w:val="nil"/>
              <w:right w:val="single" w:sz="8" w:space="0" w:color="00000A"/>
            </w:tcBorders>
            <w:vAlign w:val="center"/>
            <w:hideMark/>
          </w:tcPr>
          <w:p w14:paraId="6086B129"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r>
      <w:tr w:rsidR="00994D1E" w:rsidRPr="00994D1E" w14:paraId="49149A58" w14:textId="77777777" w:rsidTr="00994D1E">
        <w:trPr>
          <w:trHeight w:val="492"/>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0DD7C9F6"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11</w:t>
            </w:r>
          </w:p>
        </w:tc>
        <w:tc>
          <w:tcPr>
            <w:tcW w:w="1181" w:type="dxa"/>
            <w:tcBorders>
              <w:top w:val="nil"/>
              <w:left w:val="nil"/>
              <w:bottom w:val="single" w:sz="8" w:space="0" w:color="00000A"/>
              <w:right w:val="single" w:sz="8" w:space="0" w:color="00000A"/>
            </w:tcBorders>
            <w:shd w:val="clear" w:color="000000" w:fill="FFFFFF"/>
            <w:vAlign w:val="bottom"/>
            <w:hideMark/>
          </w:tcPr>
          <w:p w14:paraId="2A6B9D6A" w14:textId="6A9EBE20"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Thái Nguyên</w:t>
            </w:r>
          </w:p>
        </w:tc>
        <w:tc>
          <w:tcPr>
            <w:tcW w:w="540" w:type="dxa"/>
            <w:tcBorders>
              <w:top w:val="nil"/>
              <w:left w:val="nil"/>
              <w:bottom w:val="single" w:sz="8" w:space="0" w:color="00000A"/>
              <w:right w:val="nil"/>
            </w:tcBorders>
            <w:shd w:val="clear" w:color="000000" w:fill="FFFFFF"/>
            <w:vAlign w:val="bottom"/>
            <w:hideMark/>
          </w:tcPr>
          <w:p w14:paraId="7D82A413" w14:textId="3AE03B0A"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54.19</w:t>
            </w:r>
          </w:p>
        </w:tc>
        <w:tc>
          <w:tcPr>
            <w:tcW w:w="151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17DD726D" w14:textId="08A2DDCF"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Nam Định</w:t>
            </w:r>
          </w:p>
        </w:tc>
        <w:tc>
          <w:tcPr>
            <w:tcW w:w="972" w:type="dxa"/>
            <w:tcBorders>
              <w:top w:val="single" w:sz="8" w:space="0" w:color="auto"/>
              <w:left w:val="nil"/>
              <w:bottom w:val="single" w:sz="8" w:space="0" w:color="auto"/>
              <w:right w:val="single" w:sz="8" w:space="0" w:color="auto"/>
            </w:tcBorders>
            <w:shd w:val="clear" w:color="000000" w:fill="FFFFFF"/>
            <w:vAlign w:val="bottom"/>
            <w:hideMark/>
          </w:tcPr>
          <w:p w14:paraId="257B8D73" w14:textId="60750F1A"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42.63</w:t>
            </w:r>
          </w:p>
        </w:tc>
        <w:tc>
          <w:tcPr>
            <w:tcW w:w="2120" w:type="dxa"/>
            <w:gridSpan w:val="2"/>
            <w:vMerge/>
            <w:tcBorders>
              <w:top w:val="single" w:sz="8" w:space="0" w:color="auto"/>
              <w:left w:val="nil"/>
              <w:bottom w:val="single" w:sz="8" w:space="0" w:color="auto"/>
              <w:right w:val="single" w:sz="8" w:space="0" w:color="auto"/>
            </w:tcBorders>
            <w:vAlign w:val="center"/>
            <w:hideMark/>
          </w:tcPr>
          <w:p w14:paraId="0FEE440E"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c>
          <w:tcPr>
            <w:tcW w:w="1904" w:type="dxa"/>
            <w:gridSpan w:val="2"/>
            <w:vMerge/>
            <w:tcBorders>
              <w:top w:val="single" w:sz="8" w:space="0" w:color="auto"/>
              <w:left w:val="nil"/>
              <w:bottom w:val="single" w:sz="8" w:space="0" w:color="auto"/>
              <w:right w:val="single" w:sz="8" w:space="0" w:color="auto"/>
            </w:tcBorders>
            <w:vAlign w:val="center"/>
            <w:hideMark/>
          </w:tcPr>
          <w:p w14:paraId="42B5874E"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r>
      <w:tr w:rsidR="00994D1E" w:rsidRPr="00994D1E" w14:paraId="3962E8F1" w14:textId="77777777" w:rsidTr="00994D1E">
        <w:trPr>
          <w:trHeight w:val="492"/>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36720819"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12</w:t>
            </w:r>
          </w:p>
        </w:tc>
        <w:tc>
          <w:tcPr>
            <w:tcW w:w="1181" w:type="dxa"/>
            <w:tcBorders>
              <w:top w:val="nil"/>
              <w:left w:val="nil"/>
              <w:bottom w:val="single" w:sz="8" w:space="0" w:color="00000A"/>
              <w:right w:val="single" w:sz="8" w:space="0" w:color="00000A"/>
            </w:tcBorders>
            <w:shd w:val="clear" w:color="000000" w:fill="FFFFFF"/>
            <w:vAlign w:val="bottom"/>
            <w:hideMark/>
          </w:tcPr>
          <w:p w14:paraId="4FAD70A9" w14:textId="5AF4DDF5"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Tuyên Quang</w:t>
            </w:r>
          </w:p>
        </w:tc>
        <w:tc>
          <w:tcPr>
            <w:tcW w:w="540" w:type="dxa"/>
            <w:tcBorders>
              <w:top w:val="nil"/>
              <w:left w:val="nil"/>
              <w:bottom w:val="single" w:sz="8" w:space="0" w:color="00000A"/>
              <w:right w:val="single" w:sz="8" w:space="0" w:color="00000A"/>
            </w:tcBorders>
            <w:shd w:val="clear" w:color="000000" w:fill="FFFFFF"/>
            <w:vAlign w:val="bottom"/>
            <w:hideMark/>
          </w:tcPr>
          <w:p w14:paraId="4BC7EB78" w14:textId="6B860A50"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47.31</w:t>
            </w:r>
          </w:p>
        </w:tc>
        <w:tc>
          <w:tcPr>
            <w:tcW w:w="2484" w:type="dxa"/>
            <w:gridSpan w:val="2"/>
            <w:vMerge w:val="restart"/>
            <w:tcBorders>
              <w:top w:val="single" w:sz="8" w:space="0" w:color="auto"/>
              <w:left w:val="single" w:sz="8" w:space="0" w:color="00000A"/>
              <w:bottom w:val="single" w:sz="8" w:space="0" w:color="000000"/>
              <w:right w:val="single" w:sz="8" w:space="0" w:color="000000"/>
            </w:tcBorders>
            <w:shd w:val="clear" w:color="auto" w:fill="auto"/>
            <w:vAlign w:val="center"/>
            <w:hideMark/>
          </w:tcPr>
          <w:p w14:paraId="4FA13FE5" w14:textId="77777777"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Calibri"/>
                <w:color w:val="000000"/>
                <w:sz w:val="18"/>
                <w:szCs w:val="18"/>
              </w:rPr>
              <w:t> </w:t>
            </w:r>
          </w:p>
        </w:tc>
        <w:tc>
          <w:tcPr>
            <w:tcW w:w="2120" w:type="dxa"/>
            <w:gridSpan w:val="2"/>
            <w:vMerge/>
            <w:tcBorders>
              <w:top w:val="single" w:sz="8" w:space="0" w:color="auto"/>
              <w:left w:val="nil"/>
              <w:bottom w:val="single" w:sz="8" w:space="0" w:color="auto"/>
              <w:right w:val="single" w:sz="8" w:space="0" w:color="auto"/>
            </w:tcBorders>
            <w:vAlign w:val="center"/>
            <w:hideMark/>
          </w:tcPr>
          <w:p w14:paraId="781D2435"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c>
          <w:tcPr>
            <w:tcW w:w="1904" w:type="dxa"/>
            <w:gridSpan w:val="2"/>
            <w:vMerge/>
            <w:tcBorders>
              <w:top w:val="single" w:sz="8" w:space="0" w:color="auto"/>
              <w:left w:val="nil"/>
              <w:bottom w:val="single" w:sz="8" w:space="0" w:color="auto"/>
              <w:right w:val="single" w:sz="8" w:space="0" w:color="auto"/>
            </w:tcBorders>
            <w:vAlign w:val="center"/>
            <w:hideMark/>
          </w:tcPr>
          <w:p w14:paraId="1102F44D"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r>
      <w:tr w:rsidR="00994D1E" w:rsidRPr="00994D1E" w14:paraId="093EB527" w14:textId="77777777" w:rsidTr="00994D1E">
        <w:trPr>
          <w:trHeight w:val="300"/>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228F3D85"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13</w:t>
            </w:r>
          </w:p>
        </w:tc>
        <w:tc>
          <w:tcPr>
            <w:tcW w:w="1181" w:type="dxa"/>
            <w:tcBorders>
              <w:top w:val="nil"/>
              <w:left w:val="nil"/>
              <w:bottom w:val="single" w:sz="8" w:space="0" w:color="00000A"/>
              <w:right w:val="single" w:sz="8" w:space="0" w:color="00000A"/>
            </w:tcBorders>
            <w:shd w:val="clear" w:color="000000" w:fill="FFFFFF"/>
            <w:vAlign w:val="bottom"/>
            <w:hideMark/>
          </w:tcPr>
          <w:p w14:paraId="6C37D43B" w14:textId="7C427485"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Lạng Sơn</w:t>
            </w:r>
          </w:p>
        </w:tc>
        <w:tc>
          <w:tcPr>
            <w:tcW w:w="540" w:type="dxa"/>
            <w:tcBorders>
              <w:top w:val="nil"/>
              <w:left w:val="nil"/>
              <w:bottom w:val="single" w:sz="8" w:space="0" w:color="00000A"/>
              <w:right w:val="single" w:sz="8" w:space="0" w:color="00000A"/>
            </w:tcBorders>
            <w:shd w:val="clear" w:color="000000" w:fill="FFFFFF"/>
            <w:vAlign w:val="bottom"/>
            <w:hideMark/>
          </w:tcPr>
          <w:p w14:paraId="34D5CF20" w14:textId="06CBD82A"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21.61</w:t>
            </w:r>
          </w:p>
        </w:tc>
        <w:tc>
          <w:tcPr>
            <w:tcW w:w="2484" w:type="dxa"/>
            <w:gridSpan w:val="2"/>
            <w:vMerge/>
            <w:tcBorders>
              <w:top w:val="nil"/>
              <w:left w:val="nil"/>
              <w:bottom w:val="single" w:sz="8" w:space="0" w:color="00000A"/>
              <w:right w:val="single" w:sz="8" w:space="0" w:color="00000A"/>
            </w:tcBorders>
            <w:vAlign w:val="center"/>
            <w:hideMark/>
          </w:tcPr>
          <w:p w14:paraId="0977C37D"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c>
          <w:tcPr>
            <w:tcW w:w="2120" w:type="dxa"/>
            <w:gridSpan w:val="2"/>
            <w:vMerge/>
            <w:tcBorders>
              <w:top w:val="nil"/>
              <w:left w:val="nil"/>
              <w:bottom w:val="single" w:sz="8" w:space="0" w:color="00000A"/>
              <w:right w:val="single" w:sz="8" w:space="0" w:color="00000A"/>
            </w:tcBorders>
            <w:vAlign w:val="center"/>
            <w:hideMark/>
          </w:tcPr>
          <w:p w14:paraId="5293431D"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c>
          <w:tcPr>
            <w:tcW w:w="1904" w:type="dxa"/>
            <w:gridSpan w:val="2"/>
            <w:vMerge/>
            <w:tcBorders>
              <w:top w:val="nil"/>
              <w:left w:val="nil"/>
              <w:bottom w:val="single" w:sz="8" w:space="0" w:color="00000A"/>
              <w:right w:val="single" w:sz="8" w:space="0" w:color="00000A"/>
            </w:tcBorders>
            <w:vAlign w:val="center"/>
            <w:hideMark/>
          </w:tcPr>
          <w:p w14:paraId="76828BEB"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r>
      <w:tr w:rsidR="00994D1E" w:rsidRPr="00994D1E" w14:paraId="38C2AEED" w14:textId="77777777" w:rsidTr="00994D1E">
        <w:trPr>
          <w:trHeight w:val="300"/>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45B85988"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14</w:t>
            </w:r>
          </w:p>
        </w:tc>
        <w:tc>
          <w:tcPr>
            <w:tcW w:w="1181" w:type="dxa"/>
            <w:tcBorders>
              <w:top w:val="nil"/>
              <w:left w:val="nil"/>
              <w:bottom w:val="single" w:sz="8" w:space="0" w:color="00000A"/>
              <w:right w:val="single" w:sz="8" w:space="0" w:color="00000A"/>
            </w:tcBorders>
            <w:shd w:val="clear" w:color="000000" w:fill="FFFFFF"/>
            <w:vAlign w:val="bottom"/>
            <w:hideMark/>
          </w:tcPr>
          <w:p w14:paraId="4C4F915E" w14:textId="41B1E02A"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Hòa Bình</w:t>
            </w:r>
          </w:p>
        </w:tc>
        <w:tc>
          <w:tcPr>
            <w:tcW w:w="540" w:type="dxa"/>
            <w:tcBorders>
              <w:top w:val="nil"/>
              <w:left w:val="nil"/>
              <w:bottom w:val="single" w:sz="8" w:space="0" w:color="00000A"/>
              <w:right w:val="single" w:sz="8" w:space="0" w:color="00000A"/>
            </w:tcBorders>
            <w:shd w:val="clear" w:color="000000" w:fill="FFFFFF"/>
            <w:vAlign w:val="bottom"/>
            <w:hideMark/>
          </w:tcPr>
          <w:p w14:paraId="2388B09F" w14:textId="4EEDC8DE"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1.69</w:t>
            </w:r>
          </w:p>
        </w:tc>
        <w:tc>
          <w:tcPr>
            <w:tcW w:w="2484" w:type="dxa"/>
            <w:gridSpan w:val="2"/>
            <w:vMerge/>
            <w:tcBorders>
              <w:top w:val="nil"/>
              <w:left w:val="nil"/>
              <w:bottom w:val="single" w:sz="8" w:space="0" w:color="00000A"/>
              <w:right w:val="single" w:sz="8" w:space="0" w:color="00000A"/>
            </w:tcBorders>
            <w:vAlign w:val="center"/>
            <w:hideMark/>
          </w:tcPr>
          <w:p w14:paraId="4DEC85B3"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c>
          <w:tcPr>
            <w:tcW w:w="2120" w:type="dxa"/>
            <w:gridSpan w:val="2"/>
            <w:vMerge/>
            <w:tcBorders>
              <w:top w:val="nil"/>
              <w:left w:val="nil"/>
              <w:bottom w:val="single" w:sz="8" w:space="0" w:color="00000A"/>
              <w:right w:val="single" w:sz="8" w:space="0" w:color="00000A"/>
            </w:tcBorders>
            <w:vAlign w:val="center"/>
            <w:hideMark/>
          </w:tcPr>
          <w:p w14:paraId="05D1F7E0"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c>
          <w:tcPr>
            <w:tcW w:w="1904" w:type="dxa"/>
            <w:gridSpan w:val="2"/>
            <w:vMerge/>
            <w:tcBorders>
              <w:top w:val="nil"/>
              <w:left w:val="nil"/>
              <w:bottom w:val="single" w:sz="8" w:space="0" w:color="00000A"/>
              <w:right w:val="single" w:sz="8" w:space="0" w:color="00000A"/>
            </w:tcBorders>
            <w:vAlign w:val="center"/>
            <w:hideMark/>
          </w:tcPr>
          <w:p w14:paraId="631F09AA"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r>
      <w:tr w:rsidR="009C2A54" w:rsidRPr="00994D1E" w14:paraId="4C74ED37" w14:textId="77777777" w:rsidTr="00994D1E">
        <w:trPr>
          <w:trHeight w:val="300"/>
        </w:trPr>
        <w:tc>
          <w:tcPr>
            <w:tcW w:w="941" w:type="dxa"/>
            <w:tcBorders>
              <w:top w:val="nil"/>
              <w:left w:val="single" w:sz="8" w:space="0" w:color="auto"/>
              <w:bottom w:val="single" w:sz="8" w:space="0" w:color="auto"/>
              <w:right w:val="single" w:sz="8" w:space="0" w:color="auto"/>
            </w:tcBorders>
            <w:shd w:val="clear" w:color="000000" w:fill="2F5496"/>
            <w:vAlign w:val="center"/>
            <w:hideMark/>
          </w:tcPr>
          <w:p w14:paraId="1FBD90B8" w14:textId="77777777" w:rsidR="009C2A54" w:rsidRPr="00994D1E" w:rsidRDefault="009C2A54" w:rsidP="009C2A54">
            <w:pPr>
              <w:suppressAutoHyphens w:val="0"/>
              <w:spacing w:before="0" w:after="0" w:line="240" w:lineRule="auto"/>
              <w:jc w:val="center"/>
              <w:rPr>
                <w:rFonts w:asciiTheme="minorHAnsi" w:hAnsiTheme="minorHAnsi" w:cs="Calibri"/>
                <w:color w:val="FFFFFF"/>
                <w:sz w:val="18"/>
                <w:szCs w:val="18"/>
              </w:rPr>
            </w:pPr>
            <w:r w:rsidRPr="00994D1E">
              <w:rPr>
                <w:rFonts w:asciiTheme="minorHAnsi" w:hAnsiTheme="minorHAnsi" w:cs="Calibri"/>
                <w:color w:val="FFFFFF"/>
                <w:sz w:val="18"/>
                <w:szCs w:val="18"/>
              </w:rPr>
              <w:t>Vùng</w:t>
            </w:r>
          </w:p>
        </w:tc>
        <w:tc>
          <w:tcPr>
            <w:tcW w:w="1721" w:type="dxa"/>
            <w:gridSpan w:val="2"/>
            <w:tcBorders>
              <w:top w:val="single" w:sz="8" w:space="0" w:color="00000A"/>
              <w:left w:val="nil"/>
              <w:bottom w:val="single" w:sz="8" w:space="0" w:color="00000A"/>
              <w:right w:val="single" w:sz="8" w:space="0" w:color="00000A"/>
            </w:tcBorders>
            <w:shd w:val="clear" w:color="000000" w:fill="2F5496"/>
            <w:vAlign w:val="center"/>
            <w:hideMark/>
          </w:tcPr>
          <w:p w14:paraId="4665956C" w14:textId="77777777" w:rsidR="009C2A54" w:rsidRPr="00994D1E" w:rsidRDefault="009C2A54" w:rsidP="009C2A54">
            <w:pPr>
              <w:suppressAutoHyphens w:val="0"/>
              <w:spacing w:before="0" w:after="0" w:line="240" w:lineRule="auto"/>
              <w:jc w:val="center"/>
              <w:rPr>
                <w:rFonts w:asciiTheme="minorHAnsi" w:hAnsiTheme="minorHAnsi" w:cs="Calibri"/>
                <w:color w:val="FFFFFF"/>
                <w:sz w:val="18"/>
                <w:szCs w:val="18"/>
              </w:rPr>
            </w:pPr>
            <w:r w:rsidRPr="00994D1E">
              <w:rPr>
                <w:rFonts w:asciiTheme="minorHAnsi" w:hAnsiTheme="minorHAnsi" w:cs="Calibri"/>
                <w:color w:val="FFFFFF"/>
                <w:sz w:val="18"/>
                <w:szCs w:val="18"/>
              </w:rPr>
              <w:t>Tây Nguyên</w:t>
            </w:r>
          </w:p>
        </w:tc>
        <w:tc>
          <w:tcPr>
            <w:tcW w:w="2484" w:type="dxa"/>
            <w:gridSpan w:val="2"/>
            <w:tcBorders>
              <w:top w:val="single" w:sz="8" w:space="0" w:color="auto"/>
              <w:left w:val="nil"/>
              <w:bottom w:val="single" w:sz="8" w:space="0" w:color="00000A"/>
              <w:right w:val="single" w:sz="8" w:space="0" w:color="000001"/>
            </w:tcBorders>
            <w:shd w:val="clear" w:color="000000" w:fill="2F5496"/>
            <w:vAlign w:val="center"/>
            <w:hideMark/>
          </w:tcPr>
          <w:p w14:paraId="42221B03" w14:textId="77777777" w:rsidR="009C2A54" w:rsidRPr="00994D1E" w:rsidRDefault="009C2A54" w:rsidP="009C2A54">
            <w:pPr>
              <w:suppressAutoHyphens w:val="0"/>
              <w:spacing w:before="0" w:after="0" w:line="240" w:lineRule="auto"/>
              <w:jc w:val="center"/>
              <w:rPr>
                <w:rFonts w:asciiTheme="minorHAnsi" w:hAnsiTheme="minorHAnsi" w:cs="Calibri"/>
                <w:color w:val="FFFFFF"/>
                <w:sz w:val="18"/>
                <w:szCs w:val="18"/>
              </w:rPr>
            </w:pPr>
            <w:r w:rsidRPr="00994D1E">
              <w:rPr>
                <w:rFonts w:asciiTheme="minorHAnsi" w:hAnsiTheme="minorHAnsi" w:cs="Calibri"/>
                <w:color w:val="FFFFFF"/>
                <w:sz w:val="18"/>
                <w:szCs w:val="18"/>
              </w:rPr>
              <w:t>Đông Nam Bộ</w:t>
            </w:r>
          </w:p>
        </w:tc>
        <w:tc>
          <w:tcPr>
            <w:tcW w:w="2120" w:type="dxa"/>
            <w:gridSpan w:val="2"/>
            <w:tcBorders>
              <w:top w:val="single" w:sz="8" w:space="0" w:color="auto"/>
              <w:left w:val="nil"/>
              <w:bottom w:val="single" w:sz="8" w:space="0" w:color="00000A"/>
              <w:right w:val="single" w:sz="8" w:space="0" w:color="000001"/>
            </w:tcBorders>
            <w:shd w:val="clear" w:color="000000" w:fill="2F5496"/>
            <w:vAlign w:val="center"/>
            <w:hideMark/>
          </w:tcPr>
          <w:p w14:paraId="31732692" w14:textId="77777777" w:rsidR="009C2A54" w:rsidRPr="00994D1E" w:rsidRDefault="009C2A54" w:rsidP="009C2A54">
            <w:pPr>
              <w:suppressAutoHyphens w:val="0"/>
              <w:spacing w:before="0" w:after="0" w:line="240" w:lineRule="auto"/>
              <w:jc w:val="center"/>
              <w:rPr>
                <w:rFonts w:asciiTheme="minorHAnsi" w:hAnsiTheme="minorHAnsi" w:cs="Calibri"/>
                <w:color w:val="FFFFFF"/>
                <w:sz w:val="18"/>
                <w:szCs w:val="18"/>
              </w:rPr>
            </w:pPr>
            <w:r w:rsidRPr="00994D1E">
              <w:rPr>
                <w:rFonts w:asciiTheme="minorHAnsi" w:hAnsiTheme="minorHAnsi" w:cs="Calibri"/>
                <w:color w:val="FFFFFF"/>
                <w:sz w:val="18"/>
                <w:szCs w:val="18"/>
              </w:rPr>
              <w:t>ĐBSCL</w:t>
            </w:r>
          </w:p>
        </w:tc>
        <w:tc>
          <w:tcPr>
            <w:tcW w:w="1904" w:type="dxa"/>
            <w:gridSpan w:val="2"/>
            <w:vMerge/>
            <w:tcBorders>
              <w:top w:val="nil"/>
              <w:left w:val="nil"/>
              <w:bottom w:val="single" w:sz="8" w:space="0" w:color="00000A"/>
              <w:right w:val="single" w:sz="8" w:space="0" w:color="00000A"/>
            </w:tcBorders>
            <w:vAlign w:val="center"/>
            <w:hideMark/>
          </w:tcPr>
          <w:p w14:paraId="299B78C5" w14:textId="77777777" w:rsidR="009C2A54" w:rsidRPr="00994D1E" w:rsidRDefault="009C2A54" w:rsidP="009C2A54">
            <w:pPr>
              <w:suppressAutoHyphens w:val="0"/>
              <w:spacing w:before="0" w:after="0" w:line="240" w:lineRule="auto"/>
              <w:jc w:val="left"/>
              <w:rPr>
                <w:rFonts w:asciiTheme="minorHAnsi" w:hAnsiTheme="minorHAnsi" w:cs="Calibri"/>
                <w:color w:val="000000"/>
                <w:sz w:val="18"/>
                <w:szCs w:val="18"/>
              </w:rPr>
            </w:pPr>
          </w:p>
        </w:tc>
      </w:tr>
      <w:tr w:rsidR="009C2A54" w:rsidRPr="00994D1E" w14:paraId="476CE235" w14:textId="77777777" w:rsidTr="00994D1E">
        <w:trPr>
          <w:trHeight w:val="300"/>
        </w:trPr>
        <w:tc>
          <w:tcPr>
            <w:tcW w:w="941" w:type="dxa"/>
            <w:tcBorders>
              <w:top w:val="nil"/>
              <w:left w:val="single" w:sz="8" w:space="0" w:color="auto"/>
              <w:bottom w:val="single" w:sz="8" w:space="0" w:color="auto"/>
              <w:right w:val="single" w:sz="8" w:space="0" w:color="auto"/>
            </w:tcBorders>
            <w:shd w:val="clear" w:color="000000" w:fill="D0CECE"/>
            <w:vAlign w:val="center"/>
            <w:hideMark/>
          </w:tcPr>
          <w:p w14:paraId="3CBD340B" w14:textId="77777777" w:rsidR="009C2A54" w:rsidRPr="00994D1E" w:rsidRDefault="009C2A54" w:rsidP="009C2A54">
            <w:pPr>
              <w:suppressAutoHyphens w:val="0"/>
              <w:spacing w:before="0" w:after="0" w:line="240" w:lineRule="auto"/>
              <w:rPr>
                <w:rFonts w:asciiTheme="minorHAnsi" w:hAnsiTheme="minorHAnsi" w:cs="Calibri"/>
                <w:b/>
                <w:bCs/>
                <w:color w:val="000000"/>
                <w:sz w:val="18"/>
                <w:szCs w:val="18"/>
              </w:rPr>
            </w:pPr>
            <w:r w:rsidRPr="00994D1E">
              <w:rPr>
                <w:rFonts w:asciiTheme="minorHAnsi" w:hAnsiTheme="minorHAnsi" w:cs="Calibri"/>
                <w:b/>
                <w:bCs/>
                <w:color w:val="000000"/>
                <w:sz w:val="18"/>
                <w:szCs w:val="18"/>
              </w:rPr>
              <w:t>STT</w:t>
            </w:r>
          </w:p>
        </w:tc>
        <w:tc>
          <w:tcPr>
            <w:tcW w:w="1181" w:type="dxa"/>
            <w:tcBorders>
              <w:top w:val="nil"/>
              <w:left w:val="nil"/>
              <w:bottom w:val="single" w:sz="8" w:space="0" w:color="00000A"/>
              <w:right w:val="single" w:sz="8" w:space="0" w:color="00000A"/>
            </w:tcBorders>
            <w:shd w:val="clear" w:color="000000" w:fill="D0CECE"/>
            <w:vAlign w:val="center"/>
            <w:hideMark/>
          </w:tcPr>
          <w:p w14:paraId="41825466" w14:textId="77777777" w:rsidR="009C2A54" w:rsidRPr="00994D1E" w:rsidRDefault="009C2A54" w:rsidP="009C2A54">
            <w:pPr>
              <w:suppressAutoHyphens w:val="0"/>
              <w:spacing w:before="0" w:after="0" w:line="240" w:lineRule="auto"/>
              <w:rPr>
                <w:rFonts w:asciiTheme="minorHAnsi" w:hAnsiTheme="minorHAnsi" w:cs="Calibri"/>
                <w:b/>
                <w:bCs/>
                <w:color w:val="000000"/>
                <w:sz w:val="18"/>
                <w:szCs w:val="18"/>
              </w:rPr>
            </w:pPr>
            <w:r w:rsidRPr="00994D1E">
              <w:rPr>
                <w:rFonts w:asciiTheme="minorHAnsi" w:hAnsiTheme="minorHAnsi" w:cs="Calibri"/>
                <w:b/>
                <w:bCs/>
                <w:color w:val="000000"/>
                <w:sz w:val="18"/>
                <w:szCs w:val="18"/>
              </w:rPr>
              <w:t>Tỉnh</w:t>
            </w:r>
          </w:p>
        </w:tc>
        <w:tc>
          <w:tcPr>
            <w:tcW w:w="540" w:type="dxa"/>
            <w:tcBorders>
              <w:top w:val="nil"/>
              <w:left w:val="nil"/>
              <w:bottom w:val="single" w:sz="8" w:space="0" w:color="00000A"/>
              <w:right w:val="single" w:sz="8" w:space="0" w:color="00000A"/>
            </w:tcBorders>
            <w:shd w:val="clear" w:color="000000" w:fill="D0CECE"/>
            <w:vAlign w:val="center"/>
            <w:hideMark/>
          </w:tcPr>
          <w:p w14:paraId="3FECB50E" w14:textId="77777777" w:rsidR="009C2A54" w:rsidRPr="00994D1E" w:rsidRDefault="009C2A54" w:rsidP="009C2A54">
            <w:pPr>
              <w:suppressAutoHyphens w:val="0"/>
              <w:spacing w:before="0" w:after="0" w:line="240" w:lineRule="auto"/>
              <w:jc w:val="right"/>
              <w:rPr>
                <w:rFonts w:asciiTheme="minorHAnsi" w:hAnsiTheme="minorHAnsi" w:cs="Calibri"/>
                <w:b/>
                <w:bCs/>
                <w:color w:val="000000"/>
                <w:sz w:val="18"/>
                <w:szCs w:val="18"/>
              </w:rPr>
            </w:pPr>
            <w:r w:rsidRPr="00994D1E">
              <w:rPr>
                <w:rFonts w:asciiTheme="minorHAnsi" w:hAnsiTheme="minorHAnsi" w:cs="Calibri"/>
                <w:b/>
                <w:bCs/>
                <w:color w:val="000000"/>
                <w:sz w:val="18"/>
                <w:szCs w:val="18"/>
              </w:rPr>
              <w:t>Điểm</w:t>
            </w:r>
          </w:p>
        </w:tc>
        <w:tc>
          <w:tcPr>
            <w:tcW w:w="1512" w:type="dxa"/>
            <w:tcBorders>
              <w:top w:val="nil"/>
              <w:left w:val="nil"/>
              <w:bottom w:val="single" w:sz="8" w:space="0" w:color="00000A"/>
              <w:right w:val="single" w:sz="8" w:space="0" w:color="00000A"/>
            </w:tcBorders>
            <w:shd w:val="clear" w:color="000000" w:fill="D0CECE"/>
            <w:vAlign w:val="center"/>
            <w:hideMark/>
          </w:tcPr>
          <w:p w14:paraId="76EAB86B" w14:textId="77777777" w:rsidR="009C2A54" w:rsidRPr="00994D1E" w:rsidRDefault="009C2A54" w:rsidP="009C2A54">
            <w:pPr>
              <w:suppressAutoHyphens w:val="0"/>
              <w:spacing w:before="0" w:after="0" w:line="240" w:lineRule="auto"/>
              <w:rPr>
                <w:rFonts w:asciiTheme="minorHAnsi" w:hAnsiTheme="minorHAnsi" w:cs="Calibri"/>
                <w:b/>
                <w:bCs/>
                <w:color w:val="000000"/>
                <w:sz w:val="18"/>
                <w:szCs w:val="18"/>
              </w:rPr>
            </w:pPr>
            <w:r w:rsidRPr="00994D1E">
              <w:rPr>
                <w:rFonts w:asciiTheme="minorHAnsi" w:hAnsiTheme="minorHAnsi" w:cs="Calibri"/>
                <w:b/>
                <w:bCs/>
                <w:color w:val="000000"/>
                <w:sz w:val="18"/>
                <w:szCs w:val="18"/>
              </w:rPr>
              <w:t>Tỉnh</w:t>
            </w:r>
          </w:p>
        </w:tc>
        <w:tc>
          <w:tcPr>
            <w:tcW w:w="972" w:type="dxa"/>
            <w:tcBorders>
              <w:top w:val="nil"/>
              <w:left w:val="nil"/>
              <w:bottom w:val="single" w:sz="8" w:space="0" w:color="00000A"/>
              <w:right w:val="single" w:sz="8" w:space="0" w:color="00000A"/>
            </w:tcBorders>
            <w:shd w:val="clear" w:color="000000" w:fill="D0CECE"/>
            <w:vAlign w:val="center"/>
            <w:hideMark/>
          </w:tcPr>
          <w:p w14:paraId="25B1D503" w14:textId="77777777" w:rsidR="009C2A54" w:rsidRPr="00994D1E" w:rsidRDefault="009C2A54" w:rsidP="009C2A54">
            <w:pPr>
              <w:suppressAutoHyphens w:val="0"/>
              <w:spacing w:before="0" w:after="0" w:line="240" w:lineRule="auto"/>
              <w:jc w:val="right"/>
              <w:rPr>
                <w:rFonts w:asciiTheme="minorHAnsi" w:hAnsiTheme="minorHAnsi" w:cs="Calibri"/>
                <w:b/>
                <w:bCs/>
                <w:color w:val="000000"/>
                <w:sz w:val="18"/>
                <w:szCs w:val="18"/>
              </w:rPr>
            </w:pPr>
            <w:r w:rsidRPr="00994D1E">
              <w:rPr>
                <w:rFonts w:asciiTheme="minorHAnsi" w:hAnsiTheme="minorHAnsi" w:cs="Calibri"/>
                <w:b/>
                <w:bCs/>
                <w:color w:val="000000"/>
                <w:sz w:val="18"/>
                <w:szCs w:val="18"/>
              </w:rPr>
              <w:t>Điểm</w:t>
            </w:r>
          </w:p>
        </w:tc>
        <w:tc>
          <w:tcPr>
            <w:tcW w:w="1403" w:type="dxa"/>
            <w:tcBorders>
              <w:top w:val="nil"/>
              <w:left w:val="nil"/>
              <w:bottom w:val="single" w:sz="8" w:space="0" w:color="00000A"/>
              <w:right w:val="single" w:sz="8" w:space="0" w:color="00000A"/>
            </w:tcBorders>
            <w:shd w:val="clear" w:color="000000" w:fill="D0CECE"/>
            <w:vAlign w:val="center"/>
            <w:hideMark/>
          </w:tcPr>
          <w:p w14:paraId="32459C8C" w14:textId="77777777" w:rsidR="009C2A54" w:rsidRPr="00994D1E" w:rsidRDefault="009C2A54" w:rsidP="009C2A54">
            <w:pPr>
              <w:suppressAutoHyphens w:val="0"/>
              <w:spacing w:before="0" w:after="0" w:line="240" w:lineRule="auto"/>
              <w:rPr>
                <w:rFonts w:asciiTheme="minorHAnsi" w:hAnsiTheme="minorHAnsi" w:cs="Calibri"/>
                <w:b/>
                <w:bCs/>
                <w:color w:val="000000"/>
                <w:sz w:val="18"/>
                <w:szCs w:val="18"/>
              </w:rPr>
            </w:pPr>
            <w:r w:rsidRPr="00994D1E">
              <w:rPr>
                <w:rFonts w:asciiTheme="minorHAnsi" w:hAnsiTheme="minorHAnsi" w:cs="Calibri"/>
                <w:b/>
                <w:bCs/>
                <w:color w:val="000000"/>
                <w:sz w:val="18"/>
                <w:szCs w:val="18"/>
              </w:rPr>
              <w:t>Tỉnh</w:t>
            </w:r>
          </w:p>
        </w:tc>
        <w:tc>
          <w:tcPr>
            <w:tcW w:w="717" w:type="dxa"/>
            <w:tcBorders>
              <w:top w:val="nil"/>
              <w:left w:val="nil"/>
              <w:bottom w:val="single" w:sz="8" w:space="0" w:color="00000A"/>
              <w:right w:val="single" w:sz="8" w:space="0" w:color="00000A"/>
            </w:tcBorders>
            <w:shd w:val="clear" w:color="000000" w:fill="D0CECE"/>
            <w:vAlign w:val="center"/>
            <w:hideMark/>
          </w:tcPr>
          <w:p w14:paraId="33937323" w14:textId="77777777" w:rsidR="009C2A54" w:rsidRPr="00994D1E" w:rsidRDefault="009C2A54" w:rsidP="009C2A54">
            <w:pPr>
              <w:suppressAutoHyphens w:val="0"/>
              <w:spacing w:before="0" w:after="0" w:line="240" w:lineRule="auto"/>
              <w:jc w:val="right"/>
              <w:rPr>
                <w:rFonts w:asciiTheme="minorHAnsi" w:hAnsiTheme="minorHAnsi" w:cs="Calibri"/>
                <w:b/>
                <w:bCs/>
                <w:color w:val="000000"/>
                <w:sz w:val="18"/>
                <w:szCs w:val="18"/>
              </w:rPr>
            </w:pPr>
            <w:r w:rsidRPr="00994D1E">
              <w:rPr>
                <w:rFonts w:asciiTheme="minorHAnsi" w:hAnsiTheme="minorHAnsi" w:cs="Calibri"/>
                <w:b/>
                <w:bCs/>
                <w:color w:val="000000"/>
                <w:sz w:val="18"/>
                <w:szCs w:val="18"/>
              </w:rPr>
              <w:t>Điểm</w:t>
            </w:r>
          </w:p>
        </w:tc>
        <w:tc>
          <w:tcPr>
            <w:tcW w:w="1904" w:type="dxa"/>
            <w:gridSpan w:val="2"/>
            <w:vMerge/>
            <w:tcBorders>
              <w:top w:val="nil"/>
              <w:left w:val="nil"/>
              <w:bottom w:val="single" w:sz="8" w:space="0" w:color="00000A"/>
              <w:right w:val="single" w:sz="8" w:space="0" w:color="00000A"/>
            </w:tcBorders>
            <w:vAlign w:val="center"/>
            <w:hideMark/>
          </w:tcPr>
          <w:p w14:paraId="3AB4DC1C" w14:textId="77777777" w:rsidR="009C2A54" w:rsidRPr="00994D1E" w:rsidRDefault="009C2A54" w:rsidP="009C2A54">
            <w:pPr>
              <w:suppressAutoHyphens w:val="0"/>
              <w:spacing w:before="0" w:after="0" w:line="240" w:lineRule="auto"/>
              <w:jc w:val="left"/>
              <w:rPr>
                <w:rFonts w:asciiTheme="minorHAnsi" w:hAnsiTheme="minorHAnsi" w:cs="Calibri"/>
                <w:color w:val="000000"/>
                <w:sz w:val="18"/>
                <w:szCs w:val="18"/>
              </w:rPr>
            </w:pPr>
          </w:p>
        </w:tc>
      </w:tr>
      <w:tr w:rsidR="00994D1E" w:rsidRPr="00994D1E" w14:paraId="541CC7CC" w14:textId="77777777" w:rsidTr="00994D1E">
        <w:trPr>
          <w:trHeight w:val="300"/>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372EE265"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1</w:t>
            </w:r>
          </w:p>
        </w:tc>
        <w:tc>
          <w:tcPr>
            <w:tcW w:w="1181" w:type="dxa"/>
            <w:tcBorders>
              <w:top w:val="nil"/>
              <w:left w:val="nil"/>
              <w:bottom w:val="single" w:sz="8" w:space="0" w:color="00000A"/>
              <w:right w:val="single" w:sz="8" w:space="0" w:color="00000A"/>
            </w:tcBorders>
            <w:shd w:val="clear" w:color="000000" w:fill="FFFFFF"/>
            <w:vAlign w:val="bottom"/>
            <w:hideMark/>
          </w:tcPr>
          <w:p w14:paraId="1CB0200C" w14:textId="6C7D9657"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Lâm Đồng</w:t>
            </w:r>
          </w:p>
        </w:tc>
        <w:tc>
          <w:tcPr>
            <w:tcW w:w="540" w:type="dxa"/>
            <w:tcBorders>
              <w:top w:val="nil"/>
              <w:left w:val="nil"/>
              <w:bottom w:val="single" w:sz="8" w:space="0" w:color="00000A"/>
              <w:right w:val="single" w:sz="8" w:space="0" w:color="00000A"/>
            </w:tcBorders>
            <w:shd w:val="clear" w:color="000000" w:fill="FFFFFF"/>
            <w:vAlign w:val="bottom"/>
            <w:hideMark/>
          </w:tcPr>
          <w:p w14:paraId="2BCA40A8" w14:textId="209DA9F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76.39</w:t>
            </w:r>
          </w:p>
        </w:tc>
        <w:tc>
          <w:tcPr>
            <w:tcW w:w="1512" w:type="dxa"/>
            <w:tcBorders>
              <w:top w:val="nil"/>
              <w:left w:val="nil"/>
              <w:bottom w:val="single" w:sz="8" w:space="0" w:color="00000A"/>
              <w:right w:val="single" w:sz="8" w:space="0" w:color="00000A"/>
            </w:tcBorders>
            <w:shd w:val="clear" w:color="000000" w:fill="FFFFFF"/>
            <w:vAlign w:val="bottom"/>
            <w:hideMark/>
          </w:tcPr>
          <w:p w14:paraId="091F2DC6" w14:textId="563DE5B4"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Bà Rịa - Vũng Tàu</w:t>
            </w:r>
          </w:p>
        </w:tc>
        <w:tc>
          <w:tcPr>
            <w:tcW w:w="972" w:type="dxa"/>
            <w:tcBorders>
              <w:top w:val="nil"/>
              <w:left w:val="nil"/>
              <w:bottom w:val="single" w:sz="8" w:space="0" w:color="00000A"/>
              <w:right w:val="single" w:sz="8" w:space="0" w:color="00000A"/>
            </w:tcBorders>
            <w:shd w:val="clear" w:color="000000" w:fill="FFFFFF"/>
            <w:vAlign w:val="bottom"/>
            <w:hideMark/>
          </w:tcPr>
          <w:p w14:paraId="0C2BB603" w14:textId="268611BA"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90.39</w:t>
            </w:r>
          </w:p>
        </w:tc>
        <w:tc>
          <w:tcPr>
            <w:tcW w:w="1403" w:type="dxa"/>
            <w:tcBorders>
              <w:top w:val="nil"/>
              <w:left w:val="nil"/>
              <w:bottom w:val="single" w:sz="8" w:space="0" w:color="00000A"/>
              <w:right w:val="single" w:sz="8" w:space="0" w:color="00000A"/>
            </w:tcBorders>
            <w:shd w:val="clear" w:color="000000" w:fill="FFFFFF"/>
            <w:vAlign w:val="bottom"/>
            <w:hideMark/>
          </w:tcPr>
          <w:p w14:paraId="03F24398" w14:textId="0FA0A273"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sz w:val="18"/>
                <w:szCs w:val="18"/>
              </w:rPr>
              <w:t>Vĩnh Long</w:t>
            </w:r>
          </w:p>
        </w:tc>
        <w:tc>
          <w:tcPr>
            <w:tcW w:w="717" w:type="dxa"/>
            <w:tcBorders>
              <w:top w:val="nil"/>
              <w:left w:val="nil"/>
              <w:bottom w:val="single" w:sz="8" w:space="0" w:color="00000A"/>
              <w:right w:val="single" w:sz="8" w:space="0" w:color="00000A"/>
            </w:tcBorders>
            <w:shd w:val="clear" w:color="000000" w:fill="FFFFFF"/>
            <w:vAlign w:val="bottom"/>
            <w:hideMark/>
          </w:tcPr>
          <w:p w14:paraId="0017E208" w14:textId="23237D8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88.95</w:t>
            </w:r>
          </w:p>
        </w:tc>
        <w:tc>
          <w:tcPr>
            <w:tcW w:w="1904" w:type="dxa"/>
            <w:gridSpan w:val="2"/>
            <w:vMerge/>
            <w:tcBorders>
              <w:top w:val="nil"/>
              <w:left w:val="nil"/>
              <w:bottom w:val="single" w:sz="8" w:space="0" w:color="00000A"/>
              <w:right w:val="single" w:sz="8" w:space="0" w:color="00000A"/>
            </w:tcBorders>
            <w:vAlign w:val="center"/>
            <w:hideMark/>
          </w:tcPr>
          <w:p w14:paraId="2F470F25"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r>
      <w:tr w:rsidR="00994D1E" w:rsidRPr="00994D1E" w14:paraId="693F66CD" w14:textId="77777777" w:rsidTr="00994D1E">
        <w:trPr>
          <w:trHeight w:val="322"/>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6F29BDEA"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2</w:t>
            </w:r>
          </w:p>
        </w:tc>
        <w:tc>
          <w:tcPr>
            <w:tcW w:w="1181" w:type="dxa"/>
            <w:tcBorders>
              <w:top w:val="nil"/>
              <w:left w:val="nil"/>
              <w:bottom w:val="single" w:sz="8" w:space="0" w:color="00000A"/>
              <w:right w:val="single" w:sz="8" w:space="0" w:color="00000A"/>
            </w:tcBorders>
            <w:shd w:val="clear" w:color="000000" w:fill="FFFFFF"/>
            <w:vAlign w:val="bottom"/>
            <w:hideMark/>
          </w:tcPr>
          <w:p w14:paraId="2F67ADEC" w14:textId="7AA297F6"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Kon Tum</w:t>
            </w:r>
          </w:p>
        </w:tc>
        <w:tc>
          <w:tcPr>
            <w:tcW w:w="540" w:type="dxa"/>
            <w:tcBorders>
              <w:top w:val="nil"/>
              <w:left w:val="nil"/>
              <w:bottom w:val="single" w:sz="8" w:space="0" w:color="00000A"/>
              <w:right w:val="single" w:sz="8" w:space="0" w:color="00000A"/>
            </w:tcBorders>
            <w:shd w:val="clear" w:color="000000" w:fill="FFFFFF"/>
            <w:vAlign w:val="bottom"/>
            <w:hideMark/>
          </w:tcPr>
          <w:p w14:paraId="37881093" w14:textId="5B5D56F6"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74.54</w:t>
            </w:r>
          </w:p>
        </w:tc>
        <w:tc>
          <w:tcPr>
            <w:tcW w:w="1512" w:type="dxa"/>
            <w:tcBorders>
              <w:top w:val="nil"/>
              <w:left w:val="nil"/>
              <w:bottom w:val="single" w:sz="8" w:space="0" w:color="00000A"/>
              <w:right w:val="single" w:sz="8" w:space="0" w:color="00000A"/>
            </w:tcBorders>
            <w:shd w:val="clear" w:color="000000" w:fill="FFFFFF"/>
            <w:vAlign w:val="bottom"/>
            <w:hideMark/>
          </w:tcPr>
          <w:p w14:paraId="79F0A912" w14:textId="6A81FA98"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Tây Ninh</w:t>
            </w:r>
          </w:p>
        </w:tc>
        <w:tc>
          <w:tcPr>
            <w:tcW w:w="972" w:type="dxa"/>
            <w:tcBorders>
              <w:top w:val="nil"/>
              <w:left w:val="nil"/>
              <w:bottom w:val="single" w:sz="8" w:space="0" w:color="00000A"/>
              <w:right w:val="single" w:sz="8" w:space="0" w:color="00000A"/>
            </w:tcBorders>
            <w:shd w:val="clear" w:color="000000" w:fill="FFFFFF"/>
            <w:vAlign w:val="bottom"/>
            <w:hideMark/>
          </w:tcPr>
          <w:p w14:paraId="2093174B" w14:textId="5FB641C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86.25</w:t>
            </w:r>
          </w:p>
        </w:tc>
        <w:tc>
          <w:tcPr>
            <w:tcW w:w="1403" w:type="dxa"/>
            <w:tcBorders>
              <w:top w:val="nil"/>
              <w:left w:val="nil"/>
              <w:bottom w:val="single" w:sz="8" w:space="0" w:color="00000A"/>
              <w:right w:val="single" w:sz="8" w:space="0" w:color="00000A"/>
            </w:tcBorders>
            <w:shd w:val="clear" w:color="000000" w:fill="FFFFFF"/>
            <w:vAlign w:val="bottom"/>
            <w:hideMark/>
          </w:tcPr>
          <w:p w14:paraId="45F1668C" w14:textId="670A158E"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sz w:val="18"/>
                <w:szCs w:val="18"/>
              </w:rPr>
              <w:t>Trà Vinh</w:t>
            </w:r>
          </w:p>
        </w:tc>
        <w:tc>
          <w:tcPr>
            <w:tcW w:w="717" w:type="dxa"/>
            <w:tcBorders>
              <w:top w:val="nil"/>
              <w:left w:val="nil"/>
              <w:bottom w:val="single" w:sz="8" w:space="0" w:color="00000A"/>
              <w:right w:val="single" w:sz="8" w:space="0" w:color="00000A"/>
            </w:tcBorders>
            <w:shd w:val="clear" w:color="000000" w:fill="FFFFFF"/>
            <w:vAlign w:val="bottom"/>
            <w:hideMark/>
          </w:tcPr>
          <w:p w14:paraId="58F7DB94" w14:textId="0D9201B8"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85.14</w:t>
            </w:r>
          </w:p>
        </w:tc>
        <w:tc>
          <w:tcPr>
            <w:tcW w:w="1904" w:type="dxa"/>
            <w:gridSpan w:val="2"/>
            <w:vMerge/>
            <w:tcBorders>
              <w:top w:val="nil"/>
              <w:left w:val="nil"/>
              <w:bottom w:val="single" w:sz="8" w:space="0" w:color="00000A"/>
              <w:right w:val="single" w:sz="8" w:space="0" w:color="00000A"/>
            </w:tcBorders>
            <w:vAlign w:val="center"/>
            <w:hideMark/>
          </w:tcPr>
          <w:p w14:paraId="37AFAAFC"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r>
      <w:tr w:rsidR="00994D1E" w:rsidRPr="00994D1E" w14:paraId="7A664E69" w14:textId="77777777" w:rsidTr="00994D1E">
        <w:trPr>
          <w:trHeight w:val="300"/>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4057BDD5"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3</w:t>
            </w:r>
          </w:p>
        </w:tc>
        <w:tc>
          <w:tcPr>
            <w:tcW w:w="1181" w:type="dxa"/>
            <w:tcBorders>
              <w:top w:val="nil"/>
              <w:left w:val="nil"/>
              <w:bottom w:val="single" w:sz="8" w:space="0" w:color="00000A"/>
              <w:right w:val="single" w:sz="8" w:space="0" w:color="00000A"/>
            </w:tcBorders>
            <w:shd w:val="clear" w:color="000000" w:fill="FFFFFF"/>
            <w:vAlign w:val="bottom"/>
            <w:hideMark/>
          </w:tcPr>
          <w:p w14:paraId="011A7BC9" w14:textId="2BFAE517"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Đắk Nông</w:t>
            </w:r>
          </w:p>
        </w:tc>
        <w:tc>
          <w:tcPr>
            <w:tcW w:w="540" w:type="dxa"/>
            <w:tcBorders>
              <w:top w:val="nil"/>
              <w:left w:val="nil"/>
              <w:bottom w:val="single" w:sz="8" w:space="0" w:color="00000A"/>
              <w:right w:val="single" w:sz="8" w:space="0" w:color="00000A"/>
            </w:tcBorders>
            <w:shd w:val="clear" w:color="000000" w:fill="FFFFFF"/>
            <w:vAlign w:val="bottom"/>
            <w:hideMark/>
          </w:tcPr>
          <w:p w14:paraId="700B749B" w14:textId="79149BCF"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69.58</w:t>
            </w:r>
          </w:p>
        </w:tc>
        <w:tc>
          <w:tcPr>
            <w:tcW w:w="1512" w:type="dxa"/>
            <w:tcBorders>
              <w:top w:val="nil"/>
              <w:left w:val="nil"/>
              <w:bottom w:val="single" w:sz="8" w:space="0" w:color="00000A"/>
              <w:right w:val="single" w:sz="8" w:space="0" w:color="00000A"/>
            </w:tcBorders>
            <w:shd w:val="clear" w:color="000000" w:fill="FFFFFF"/>
            <w:vAlign w:val="bottom"/>
            <w:hideMark/>
          </w:tcPr>
          <w:p w14:paraId="02854D0F" w14:textId="043B977D"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Bình Dương</w:t>
            </w:r>
          </w:p>
        </w:tc>
        <w:tc>
          <w:tcPr>
            <w:tcW w:w="972" w:type="dxa"/>
            <w:tcBorders>
              <w:top w:val="nil"/>
              <w:left w:val="nil"/>
              <w:bottom w:val="single" w:sz="8" w:space="0" w:color="00000A"/>
              <w:right w:val="single" w:sz="8" w:space="0" w:color="00000A"/>
            </w:tcBorders>
            <w:shd w:val="clear" w:color="000000" w:fill="FFFFFF"/>
            <w:vAlign w:val="bottom"/>
            <w:hideMark/>
          </w:tcPr>
          <w:p w14:paraId="4EE9E2EF" w14:textId="1CB63E2C"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82.31</w:t>
            </w:r>
          </w:p>
        </w:tc>
        <w:tc>
          <w:tcPr>
            <w:tcW w:w="1403" w:type="dxa"/>
            <w:tcBorders>
              <w:top w:val="nil"/>
              <w:left w:val="nil"/>
              <w:bottom w:val="single" w:sz="8" w:space="0" w:color="00000A"/>
              <w:right w:val="single" w:sz="8" w:space="0" w:color="00000A"/>
            </w:tcBorders>
            <w:shd w:val="clear" w:color="000000" w:fill="FFFFFF"/>
            <w:vAlign w:val="bottom"/>
            <w:hideMark/>
          </w:tcPr>
          <w:p w14:paraId="7DB3C44A" w14:textId="2336A135"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sz w:val="18"/>
                <w:szCs w:val="18"/>
              </w:rPr>
              <w:t>An Giang</w:t>
            </w:r>
          </w:p>
        </w:tc>
        <w:tc>
          <w:tcPr>
            <w:tcW w:w="717" w:type="dxa"/>
            <w:tcBorders>
              <w:top w:val="nil"/>
              <w:left w:val="nil"/>
              <w:bottom w:val="single" w:sz="8" w:space="0" w:color="00000A"/>
              <w:right w:val="single" w:sz="8" w:space="0" w:color="00000A"/>
            </w:tcBorders>
            <w:shd w:val="clear" w:color="000000" w:fill="FFFFFF"/>
            <w:vAlign w:val="bottom"/>
            <w:hideMark/>
          </w:tcPr>
          <w:p w14:paraId="747E3714" w14:textId="1D1AC51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78.75</w:t>
            </w:r>
          </w:p>
        </w:tc>
        <w:tc>
          <w:tcPr>
            <w:tcW w:w="1904" w:type="dxa"/>
            <w:gridSpan w:val="2"/>
            <w:vMerge/>
            <w:tcBorders>
              <w:top w:val="nil"/>
              <w:left w:val="nil"/>
              <w:bottom w:val="single" w:sz="8" w:space="0" w:color="00000A"/>
              <w:right w:val="single" w:sz="8" w:space="0" w:color="00000A"/>
            </w:tcBorders>
            <w:vAlign w:val="center"/>
            <w:hideMark/>
          </w:tcPr>
          <w:p w14:paraId="2913DF32"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r>
      <w:tr w:rsidR="00994D1E" w:rsidRPr="00994D1E" w14:paraId="1713F02F" w14:textId="77777777" w:rsidTr="00994D1E">
        <w:trPr>
          <w:trHeight w:val="295"/>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41DB1CC3"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4</w:t>
            </w:r>
          </w:p>
        </w:tc>
        <w:tc>
          <w:tcPr>
            <w:tcW w:w="1181" w:type="dxa"/>
            <w:tcBorders>
              <w:top w:val="nil"/>
              <w:left w:val="nil"/>
              <w:bottom w:val="single" w:sz="8" w:space="0" w:color="00000A"/>
              <w:right w:val="single" w:sz="8" w:space="0" w:color="00000A"/>
            </w:tcBorders>
            <w:shd w:val="clear" w:color="000000" w:fill="FFFFFF"/>
            <w:vAlign w:val="bottom"/>
            <w:hideMark/>
          </w:tcPr>
          <w:p w14:paraId="0DEB402E" w14:textId="6C588910"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Gia Lai</w:t>
            </w:r>
          </w:p>
        </w:tc>
        <w:tc>
          <w:tcPr>
            <w:tcW w:w="540" w:type="dxa"/>
            <w:tcBorders>
              <w:top w:val="nil"/>
              <w:left w:val="nil"/>
              <w:bottom w:val="single" w:sz="8" w:space="0" w:color="00000A"/>
              <w:right w:val="single" w:sz="8" w:space="0" w:color="00000A"/>
            </w:tcBorders>
            <w:shd w:val="clear" w:color="000000" w:fill="FFFFFF"/>
            <w:vAlign w:val="bottom"/>
            <w:hideMark/>
          </w:tcPr>
          <w:p w14:paraId="1509E84D" w14:textId="59506560"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68.47</w:t>
            </w:r>
          </w:p>
        </w:tc>
        <w:tc>
          <w:tcPr>
            <w:tcW w:w="1512" w:type="dxa"/>
            <w:tcBorders>
              <w:top w:val="nil"/>
              <w:left w:val="nil"/>
              <w:bottom w:val="single" w:sz="8" w:space="0" w:color="00000A"/>
              <w:right w:val="single" w:sz="8" w:space="0" w:color="00000A"/>
            </w:tcBorders>
            <w:shd w:val="clear" w:color="000000" w:fill="FFFFFF"/>
            <w:vAlign w:val="bottom"/>
            <w:hideMark/>
          </w:tcPr>
          <w:p w14:paraId="38217F4E" w14:textId="26B7F232"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TP. Hồ Chí Minh</w:t>
            </w:r>
          </w:p>
        </w:tc>
        <w:tc>
          <w:tcPr>
            <w:tcW w:w="972" w:type="dxa"/>
            <w:tcBorders>
              <w:top w:val="nil"/>
              <w:left w:val="nil"/>
              <w:bottom w:val="single" w:sz="8" w:space="0" w:color="00000A"/>
              <w:right w:val="single" w:sz="8" w:space="0" w:color="00000A"/>
            </w:tcBorders>
            <w:shd w:val="clear" w:color="000000" w:fill="FFFFFF"/>
            <w:vAlign w:val="bottom"/>
            <w:hideMark/>
          </w:tcPr>
          <w:p w14:paraId="781DA90D" w14:textId="37C33B9B"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66.03</w:t>
            </w:r>
          </w:p>
        </w:tc>
        <w:tc>
          <w:tcPr>
            <w:tcW w:w="1403" w:type="dxa"/>
            <w:tcBorders>
              <w:top w:val="nil"/>
              <w:left w:val="nil"/>
              <w:bottom w:val="single" w:sz="8" w:space="0" w:color="00000A"/>
              <w:right w:val="single" w:sz="8" w:space="0" w:color="00000A"/>
            </w:tcBorders>
            <w:shd w:val="clear" w:color="000000" w:fill="FFFFFF"/>
            <w:vAlign w:val="bottom"/>
            <w:hideMark/>
          </w:tcPr>
          <w:p w14:paraId="24EB5022" w14:textId="6E8DAB96"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sz w:val="18"/>
                <w:szCs w:val="18"/>
              </w:rPr>
              <w:t>Long An</w:t>
            </w:r>
          </w:p>
        </w:tc>
        <w:tc>
          <w:tcPr>
            <w:tcW w:w="717" w:type="dxa"/>
            <w:tcBorders>
              <w:top w:val="nil"/>
              <w:left w:val="nil"/>
              <w:bottom w:val="single" w:sz="8" w:space="0" w:color="00000A"/>
              <w:right w:val="single" w:sz="8" w:space="0" w:color="00000A"/>
            </w:tcBorders>
            <w:shd w:val="clear" w:color="000000" w:fill="FFFFFF"/>
            <w:vAlign w:val="bottom"/>
            <w:hideMark/>
          </w:tcPr>
          <w:p w14:paraId="726DFE4B" w14:textId="3111DC7C"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72.12</w:t>
            </w:r>
          </w:p>
        </w:tc>
        <w:tc>
          <w:tcPr>
            <w:tcW w:w="1904" w:type="dxa"/>
            <w:gridSpan w:val="2"/>
            <w:vMerge/>
            <w:tcBorders>
              <w:top w:val="nil"/>
              <w:left w:val="nil"/>
              <w:bottom w:val="single" w:sz="8" w:space="0" w:color="00000A"/>
              <w:right w:val="single" w:sz="8" w:space="0" w:color="00000A"/>
            </w:tcBorders>
            <w:vAlign w:val="center"/>
            <w:hideMark/>
          </w:tcPr>
          <w:p w14:paraId="00C16A34"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r>
      <w:tr w:rsidR="00994D1E" w:rsidRPr="00994D1E" w14:paraId="44B51BD0" w14:textId="77777777" w:rsidTr="00994D1E">
        <w:trPr>
          <w:trHeight w:val="300"/>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72F203C1"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5</w:t>
            </w:r>
          </w:p>
        </w:tc>
        <w:tc>
          <w:tcPr>
            <w:tcW w:w="1181" w:type="dxa"/>
            <w:tcBorders>
              <w:top w:val="nil"/>
              <w:left w:val="nil"/>
              <w:bottom w:val="single" w:sz="8" w:space="0" w:color="00000A"/>
              <w:right w:val="single" w:sz="8" w:space="0" w:color="00000A"/>
            </w:tcBorders>
            <w:shd w:val="clear" w:color="000000" w:fill="FFFFFF"/>
            <w:vAlign w:val="bottom"/>
            <w:hideMark/>
          </w:tcPr>
          <w:p w14:paraId="4986EFCC" w14:textId="5731D9CB"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Đắk Lắk</w:t>
            </w:r>
          </w:p>
        </w:tc>
        <w:tc>
          <w:tcPr>
            <w:tcW w:w="540" w:type="dxa"/>
            <w:tcBorders>
              <w:top w:val="nil"/>
              <w:left w:val="nil"/>
              <w:bottom w:val="single" w:sz="8" w:space="0" w:color="00000A"/>
              <w:right w:val="single" w:sz="8" w:space="0" w:color="00000A"/>
            </w:tcBorders>
            <w:shd w:val="clear" w:color="000000" w:fill="FFFFFF"/>
            <w:vAlign w:val="bottom"/>
            <w:hideMark/>
          </w:tcPr>
          <w:p w14:paraId="58AA3DE6" w14:textId="13ECD613"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62.37</w:t>
            </w:r>
          </w:p>
        </w:tc>
        <w:tc>
          <w:tcPr>
            <w:tcW w:w="1512" w:type="dxa"/>
            <w:tcBorders>
              <w:top w:val="nil"/>
              <w:left w:val="nil"/>
              <w:bottom w:val="single" w:sz="8" w:space="0" w:color="00000A"/>
              <w:right w:val="single" w:sz="8" w:space="0" w:color="00000A"/>
            </w:tcBorders>
            <w:shd w:val="clear" w:color="000000" w:fill="FFFFFF"/>
            <w:vAlign w:val="bottom"/>
            <w:hideMark/>
          </w:tcPr>
          <w:p w14:paraId="161583C3" w14:textId="41A21E9D"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color w:val="000000"/>
                <w:sz w:val="18"/>
                <w:szCs w:val="18"/>
              </w:rPr>
              <w:t>Bình Phước</w:t>
            </w:r>
          </w:p>
        </w:tc>
        <w:tc>
          <w:tcPr>
            <w:tcW w:w="972" w:type="dxa"/>
            <w:tcBorders>
              <w:top w:val="nil"/>
              <w:left w:val="nil"/>
              <w:bottom w:val="single" w:sz="8" w:space="0" w:color="00000A"/>
              <w:right w:val="single" w:sz="8" w:space="0" w:color="00000A"/>
            </w:tcBorders>
            <w:shd w:val="clear" w:color="000000" w:fill="FFFFFF"/>
            <w:vAlign w:val="bottom"/>
            <w:hideMark/>
          </w:tcPr>
          <w:p w14:paraId="526C9632" w14:textId="7A8774DA"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63.93</w:t>
            </w:r>
          </w:p>
        </w:tc>
        <w:tc>
          <w:tcPr>
            <w:tcW w:w="1403" w:type="dxa"/>
            <w:tcBorders>
              <w:top w:val="nil"/>
              <w:left w:val="nil"/>
              <w:bottom w:val="single" w:sz="8" w:space="0" w:color="00000A"/>
              <w:right w:val="single" w:sz="8" w:space="0" w:color="00000A"/>
            </w:tcBorders>
            <w:shd w:val="clear" w:color="000000" w:fill="FFFFFF"/>
            <w:vAlign w:val="bottom"/>
            <w:hideMark/>
          </w:tcPr>
          <w:p w14:paraId="2ACAEB82" w14:textId="76F2CF94"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sz w:val="18"/>
                <w:szCs w:val="18"/>
              </w:rPr>
              <w:t>Bến Tre</w:t>
            </w:r>
          </w:p>
        </w:tc>
        <w:tc>
          <w:tcPr>
            <w:tcW w:w="717" w:type="dxa"/>
            <w:tcBorders>
              <w:top w:val="nil"/>
              <w:left w:val="nil"/>
              <w:bottom w:val="single" w:sz="8" w:space="0" w:color="00000A"/>
              <w:right w:val="single" w:sz="8" w:space="0" w:color="00000A"/>
            </w:tcBorders>
            <w:shd w:val="clear" w:color="000000" w:fill="FFFFFF"/>
            <w:vAlign w:val="bottom"/>
            <w:hideMark/>
          </w:tcPr>
          <w:p w14:paraId="45B9B0EB" w14:textId="46B1CC31"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70.19</w:t>
            </w:r>
          </w:p>
        </w:tc>
        <w:tc>
          <w:tcPr>
            <w:tcW w:w="1904" w:type="dxa"/>
            <w:gridSpan w:val="2"/>
            <w:vMerge/>
            <w:tcBorders>
              <w:top w:val="nil"/>
              <w:left w:val="nil"/>
              <w:bottom w:val="single" w:sz="8" w:space="0" w:color="00000A"/>
              <w:right w:val="single" w:sz="8" w:space="0" w:color="00000A"/>
            </w:tcBorders>
            <w:vAlign w:val="center"/>
            <w:hideMark/>
          </w:tcPr>
          <w:p w14:paraId="7FC50747"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r>
      <w:tr w:rsidR="00994D1E" w:rsidRPr="00994D1E" w14:paraId="3A41E15D" w14:textId="77777777" w:rsidTr="00994D1E">
        <w:trPr>
          <w:trHeight w:val="367"/>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72F8DF7D"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6</w:t>
            </w:r>
          </w:p>
        </w:tc>
        <w:tc>
          <w:tcPr>
            <w:tcW w:w="1721" w:type="dxa"/>
            <w:gridSpan w:val="2"/>
            <w:vMerge w:val="restart"/>
            <w:tcBorders>
              <w:top w:val="single" w:sz="8" w:space="0" w:color="00000A"/>
              <w:left w:val="single" w:sz="8" w:space="0" w:color="auto"/>
              <w:bottom w:val="single" w:sz="8" w:space="0" w:color="000000"/>
              <w:right w:val="single" w:sz="8" w:space="0" w:color="000000"/>
            </w:tcBorders>
            <w:shd w:val="clear" w:color="auto" w:fill="auto"/>
            <w:vAlign w:val="center"/>
            <w:hideMark/>
          </w:tcPr>
          <w:p w14:paraId="50A2B1F3"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 </w:t>
            </w:r>
          </w:p>
        </w:tc>
        <w:tc>
          <w:tcPr>
            <w:tcW w:w="1512" w:type="dxa"/>
            <w:tcBorders>
              <w:top w:val="nil"/>
              <w:left w:val="nil"/>
              <w:bottom w:val="single" w:sz="8" w:space="0" w:color="00000A"/>
              <w:right w:val="single" w:sz="8" w:space="0" w:color="00000A"/>
            </w:tcBorders>
            <w:shd w:val="clear" w:color="000000" w:fill="FFFFFF"/>
            <w:vAlign w:val="center"/>
            <w:hideMark/>
          </w:tcPr>
          <w:p w14:paraId="0C9194B7" w14:textId="77777777"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Calibri"/>
                <w:color w:val="000000"/>
                <w:sz w:val="18"/>
                <w:szCs w:val="18"/>
              </w:rPr>
              <w:t>Đồng Nai</w:t>
            </w:r>
          </w:p>
        </w:tc>
        <w:tc>
          <w:tcPr>
            <w:tcW w:w="972" w:type="dxa"/>
            <w:tcBorders>
              <w:top w:val="nil"/>
              <w:left w:val="nil"/>
              <w:bottom w:val="single" w:sz="8" w:space="0" w:color="00000A"/>
              <w:right w:val="single" w:sz="8" w:space="0" w:color="00000A"/>
            </w:tcBorders>
            <w:shd w:val="clear" w:color="000000" w:fill="FFFFFF"/>
            <w:vAlign w:val="bottom"/>
            <w:hideMark/>
          </w:tcPr>
          <w:p w14:paraId="4802F75D" w14:textId="5E9E1A77" w:rsidR="00994D1E" w:rsidRPr="00994D1E" w:rsidRDefault="007C2129" w:rsidP="00994D1E">
            <w:pPr>
              <w:suppressAutoHyphens w:val="0"/>
              <w:spacing w:before="0" w:after="0" w:line="240" w:lineRule="auto"/>
              <w:jc w:val="right"/>
              <w:rPr>
                <w:rFonts w:asciiTheme="minorHAnsi" w:hAnsiTheme="minorHAnsi" w:cs="Calibri"/>
                <w:color w:val="000000"/>
                <w:sz w:val="18"/>
                <w:szCs w:val="18"/>
              </w:rPr>
            </w:pPr>
            <w:r w:rsidRPr="007C2129">
              <w:rPr>
                <w:rFonts w:asciiTheme="minorHAnsi" w:hAnsiTheme="minorHAnsi" w:cs="Arial"/>
                <w:color w:val="000000"/>
                <w:sz w:val="18"/>
                <w:szCs w:val="18"/>
              </w:rPr>
              <w:t>53.93</w:t>
            </w:r>
          </w:p>
        </w:tc>
        <w:tc>
          <w:tcPr>
            <w:tcW w:w="1403" w:type="dxa"/>
            <w:tcBorders>
              <w:top w:val="nil"/>
              <w:left w:val="nil"/>
              <w:bottom w:val="single" w:sz="8" w:space="0" w:color="00000A"/>
              <w:right w:val="single" w:sz="8" w:space="0" w:color="00000A"/>
            </w:tcBorders>
            <w:shd w:val="clear" w:color="000000" w:fill="FFFFFF"/>
            <w:vAlign w:val="bottom"/>
            <w:hideMark/>
          </w:tcPr>
          <w:p w14:paraId="34D87E2E" w14:textId="39FE75E0"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Arial"/>
                <w:sz w:val="18"/>
                <w:szCs w:val="18"/>
              </w:rPr>
              <w:t>48.27</w:t>
            </w:r>
          </w:p>
        </w:tc>
        <w:tc>
          <w:tcPr>
            <w:tcW w:w="717" w:type="dxa"/>
            <w:tcBorders>
              <w:top w:val="nil"/>
              <w:left w:val="nil"/>
              <w:bottom w:val="single" w:sz="8" w:space="0" w:color="00000A"/>
              <w:right w:val="single" w:sz="8" w:space="0" w:color="00000A"/>
            </w:tcBorders>
            <w:shd w:val="clear" w:color="000000" w:fill="FFFFFF"/>
            <w:vAlign w:val="bottom"/>
            <w:hideMark/>
          </w:tcPr>
          <w:p w14:paraId="706D8AEB" w14:textId="67D716B1"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Arial"/>
                <w:sz w:val="18"/>
                <w:szCs w:val="18"/>
              </w:rPr>
              <w:t>Cần Thơ</w:t>
            </w:r>
          </w:p>
        </w:tc>
        <w:tc>
          <w:tcPr>
            <w:tcW w:w="1904" w:type="dxa"/>
            <w:gridSpan w:val="2"/>
            <w:vMerge/>
            <w:tcBorders>
              <w:top w:val="nil"/>
              <w:left w:val="nil"/>
              <w:bottom w:val="single" w:sz="8" w:space="0" w:color="00000A"/>
              <w:right w:val="single" w:sz="8" w:space="0" w:color="00000A"/>
            </w:tcBorders>
            <w:vAlign w:val="bottom"/>
            <w:hideMark/>
          </w:tcPr>
          <w:p w14:paraId="35773BE7"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r>
      <w:tr w:rsidR="00994D1E" w:rsidRPr="00994D1E" w14:paraId="4E2556EE" w14:textId="77777777" w:rsidTr="00994D1E">
        <w:trPr>
          <w:trHeight w:val="300"/>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0C6F7B77"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7</w:t>
            </w:r>
          </w:p>
        </w:tc>
        <w:tc>
          <w:tcPr>
            <w:tcW w:w="1721" w:type="dxa"/>
            <w:gridSpan w:val="2"/>
            <w:vMerge/>
            <w:tcBorders>
              <w:top w:val="nil"/>
              <w:left w:val="single" w:sz="8" w:space="0" w:color="auto"/>
              <w:bottom w:val="single" w:sz="8" w:space="0" w:color="auto"/>
              <w:right w:val="single" w:sz="8" w:space="0" w:color="auto"/>
            </w:tcBorders>
            <w:vAlign w:val="center"/>
            <w:hideMark/>
          </w:tcPr>
          <w:p w14:paraId="2BE02D11"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c>
          <w:tcPr>
            <w:tcW w:w="2484" w:type="dxa"/>
            <w:gridSpan w:val="2"/>
            <w:vMerge w:val="restart"/>
            <w:tcBorders>
              <w:top w:val="single" w:sz="8" w:space="0" w:color="00000A"/>
              <w:left w:val="single" w:sz="8" w:space="0" w:color="auto"/>
              <w:bottom w:val="single" w:sz="8" w:space="0" w:color="000000"/>
              <w:right w:val="single" w:sz="8" w:space="0" w:color="000000"/>
            </w:tcBorders>
            <w:shd w:val="clear" w:color="auto" w:fill="auto"/>
            <w:vAlign w:val="center"/>
            <w:hideMark/>
          </w:tcPr>
          <w:p w14:paraId="522DBECA" w14:textId="77777777"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Calibri"/>
                <w:color w:val="000000"/>
                <w:sz w:val="18"/>
                <w:szCs w:val="18"/>
              </w:rPr>
              <w:t> </w:t>
            </w:r>
          </w:p>
        </w:tc>
        <w:tc>
          <w:tcPr>
            <w:tcW w:w="1403" w:type="dxa"/>
            <w:tcBorders>
              <w:top w:val="nil"/>
              <w:left w:val="nil"/>
              <w:bottom w:val="single" w:sz="8" w:space="0" w:color="00000A"/>
              <w:right w:val="single" w:sz="8" w:space="0" w:color="00000A"/>
            </w:tcBorders>
            <w:shd w:val="clear" w:color="000000" w:fill="FFFFFF"/>
            <w:vAlign w:val="center"/>
            <w:hideMark/>
          </w:tcPr>
          <w:p w14:paraId="3FFD2E83" w14:textId="77777777"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Calibri"/>
                <w:color w:val="000000"/>
                <w:sz w:val="18"/>
                <w:szCs w:val="18"/>
              </w:rPr>
              <w:t>Long An</w:t>
            </w:r>
          </w:p>
        </w:tc>
        <w:tc>
          <w:tcPr>
            <w:tcW w:w="717" w:type="dxa"/>
            <w:tcBorders>
              <w:top w:val="nil"/>
              <w:left w:val="nil"/>
              <w:bottom w:val="single" w:sz="8" w:space="0" w:color="00000A"/>
              <w:right w:val="single" w:sz="8" w:space="0" w:color="00000A"/>
            </w:tcBorders>
            <w:shd w:val="clear" w:color="000000" w:fill="FFFFFF"/>
            <w:vAlign w:val="center"/>
            <w:hideMark/>
          </w:tcPr>
          <w:p w14:paraId="6EEE3D57"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66.19</w:t>
            </w:r>
          </w:p>
        </w:tc>
        <w:tc>
          <w:tcPr>
            <w:tcW w:w="1904" w:type="dxa"/>
            <w:gridSpan w:val="2"/>
            <w:vMerge/>
            <w:tcBorders>
              <w:top w:val="nil"/>
              <w:left w:val="nil"/>
              <w:bottom w:val="single" w:sz="8" w:space="0" w:color="00000A"/>
              <w:right w:val="single" w:sz="8" w:space="0" w:color="00000A"/>
            </w:tcBorders>
            <w:vAlign w:val="bottom"/>
            <w:hideMark/>
          </w:tcPr>
          <w:p w14:paraId="44B42612"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r>
      <w:tr w:rsidR="00994D1E" w:rsidRPr="00994D1E" w14:paraId="74D9DDCA" w14:textId="77777777" w:rsidTr="00994D1E">
        <w:trPr>
          <w:trHeight w:val="300"/>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0984D2DD"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8</w:t>
            </w:r>
          </w:p>
        </w:tc>
        <w:tc>
          <w:tcPr>
            <w:tcW w:w="1721" w:type="dxa"/>
            <w:gridSpan w:val="2"/>
            <w:vMerge/>
            <w:tcBorders>
              <w:top w:val="nil"/>
              <w:left w:val="single" w:sz="8" w:space="0" w:color="auto"/>
              <w:bottom w:val="single" w:sz="8" w:space="0" w:color="auto"/>
              <w:right w:val="single" w:sz="8" w:space="0" w:color="auto"/>
            </w:tcBorders>
            <w:vAlign w:val="center"/>
            <w:hideMark/>
          </w:tcPr>
          <w:p w14:paraId="479A1910"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c>
          <w:tcPr>
            <w:tcW w:w="2484" w:type="dxa"/>
            <w:gridSpan w:val="2"/>
            <w:vMerge/>
            <w:tcBorders>
              <w:top w:val="nil"/>
              <w:left w:val="single" w:sz="8" w:space="0" w:color="auto"/>
              <w:bottom w:val="single" w:sz="8" w:space="0" w:color="auto"/>
              <w:right w:val="single" w:sz="8" w:space="0" w:color="auto"/>
            </w:tcBorders>
            <w:vAlign w:val="center"/>
            <w:hideMark/>
          </w:tcPr>
          <w:p w14:paraId="7DC05E2A"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c>
          <w:tcPr>
            <w:tcW w:w="1403" w:type="dxa"/>
            <w:tcBorders>
              <w:top w:val="nil"/>
              <w:left w:val="nil"/>
              <w:bottom w:val="single" w:sz="8" w:space="0" w:color="00000A"/>
              <w:right w:val="single" w:sz="8" w:space="0" w:color="00000A"/>
            </w:tcBorders>
            <w:shd w:val="clear" w:color="000000" w:fill="FFFFFF"/>
            <w:vAlign w:val="center"/>
            <w:hideMark/>
          </w:tcPr>
          <w:p w14:paraId="57E96BEA" w14:textId="77777777"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Calibri"/>
                <w:color w:val="000000"/>
                <w:sz w:val="18"/>
                <w:szCs w:val="18"/>
              </w:rPr>
              <w:t>Sóc Trăng</w:t>
            </w:r>
          </w:p>
        </w:tc>
        <w:tc>
          <w:tcPr>
            <w:tcW w:w="717" w:type="dxa"/>
            <w:tcBorders>
              <w:top w:val="nil"/>
              <w:left w:val="nil"/>
              <w:bottom w:val="single" w:sz="8" w:space="0" w:color="00000A"/>
              <w:right w:val="single" w:sz="8" w:space="0" w:color="00000A"/>
            </w:tcBorders>
            <w:shd w:val="clear" w:color="000000" w:fill="FFFFFF"/>
            <w:vAlign w:val="center"/>
            <w:hideMark/>
          </w:tcPr>
          <w:p w14:paraId="30DDD72F"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54.47</w:t>
            </w:r>
          </w:p>
        </w:tc>
        <w:tc>
          <w:tcPr>
            <w:tcW w:w="1904" w:type="dxa"/>
            <w:gridSpan w:val="2"/>
            <w:vMerge/>
            <w:tcBorders>
              <w:top w:val="nil"/>
              <w:left w:val="nil"/>
              <w:bottom w:val="single" w:sz="8" w:space="0" w:color="00000A"/>
              <w:right w:val="single" w:sz="8" w:space="0" w:color="00000A"/>
            </w:tcBorders>
            <w:vAlign w:val="bottom"/>
            <w:hideMark/>
          </w:tcPr>
          <w:p w14:paraId="4995047C"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r>
      <w:tr w:rsidR="00994D1E" w:rsidRPr="00994D1E" w14:paraId="19F66E12" w14:textId="77777777" w:rsidTr="00994D1E">
        <w:trPr>
          <w:trHeight w:val="300"/>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651E78EE"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9</w:t>
            </w:r>
          </w:p>
        </w:tc>
        <w:tc>
          <w:tcPr>
            <w:tcW w:w="1721" w:type="dxa"/>
            <w:gridSpan w:val="2"/>
            <w:vMerge/>
            <w:tcBorders>
              <w:top w:val="nil"/>
              <w:left w:val="single" w:sz="8" w:space="0" w:color="auto"/>
              <w:bottom w:val="single" w:sz="8" w:space="0" w:color="auto"/>
              <w:right w:val="single" w:sz="8" w:space="0" w:color="auto"/>
            </w:tcBorders>
            <w:vAlign w:val="center"/>
            <w:hideMark/>
          </w:tcPr>
          <w:p w14:paraId="5D1227B0"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c>
          <w:tcPr>
            <w:tcW w:w="2484" w:type="dxa"/>
            <w:gridSpan w:val="2"/>
            <w:vMerge/>
            <w:tcBorders>
              <w:top w:val="nil"/>
              <w:left w:val="single" w:sz="8" w:space="0" w:color="auto"/>
              <w:bottom w:val="single" w:sz="8" w:space="0" w:color="auto"/>
              <w:right w:val="single" w:sz="8" w:space="0" w:color="auto"/>
            </w:tcBorders>
            <w:vAlign w:val="center"/>
            <w:hideMark/>
          </w:tcPr>
          <w:p w14:paraId="1C8973FD"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c>
          <w:tcPr>
            <w:tcW w:w="1403" w:type="dxa"/>
            <w:tcBorders>
              <w:top w:val="nil"/>
              <w:left w:val="nil"/>
              <w:bottom w:val="single" w:sz="8" w:space="0" w:color="00000A"/>
              <w:right w:val="single" w:sz="8" w:space="0" w:color="00000A"/>
            </w:tcBorders>
            <w:shd w:val="clear" w:color="000000" w:fill="FFFFFF"/>
            <w:vAlign w:val="center"/>
            <w:hideMark/>
          </w:tcPr>
          <w:p w14:paraId="60337DB6" w14:textId="77777777"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Calibri"/>
                <w:color w:val="000000"/>
                <w:sz w:val="18"/>
                <w:szCs w:val="18"/>
              </w:rPr>
              <w:t>Cà Mau</w:t>
            </w:r>
          </w:p>
        </w:tc>
        <w:tc>
          <w:tcPr>
            <w:tcW w:w="717" w:type="dxa"/>
            <w:tcBorders>
              <w:top w:val="nil"/>
              <w:left w:val="nil"/>
              <w:bottom w:val="single" w:sz="8" w:space="0" w:color="00000A"/>
              <w:right w:val="single" w:sz="8" w:space="0" w:color="00000A"/>
            </w:tcBorders>
            <w:shd w:val="clear" w:color="000000" w:fill="FFFFFF"/>
            <w:vAlign w:val="center"/>
            <w:hideMark/>
          </w:tcPr>
          <w:p w14:paraId="326A8FED"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52.47</w:t>
            </w:r>
          </w:p>
        </w:tc>
        <w:tc>
          <w:tcPr>
            <w:tcW w:w="1904" w:type="dxa"/>
            <w:gridSpan w:val="2"/>
            <w:vMerge/>
            <w:tcBorders>
              <w:top w:val="nil"/>
              <w:left w:val="nil"/>
              <w:bottom w:val="single" w:sz="8" w:space="0" w:color="00000A"/>
              <w:right w:val="single" w:sz="8" w:space="0" w:color="00000A"/>
            </w:tcBorders>
            <w:vAlign w:val="bottom"/>
            <w:hideMark/>
          </w:tcPr>
          <w:p w14:paraId="3D2044A6"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r>
      <w:tr w:rsidR="00994D1E" w:rsidRPr="00994D1E" w14:paraId="3B94F485" w14:textId="77777777" w:rsidTr="00994D1E">
        <w:trPr>
          <w:trHeight w:val="300"/>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1DE9733F"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10</w:t>
            </w:r>
          </w:p>
        </w:tc>
        <w:tc>
          <w:tcPr>
            <w:tcW w:w="1721" w:type="dxa"/>
            <w:gridSpan w:val="2"/>
            <w:vMerge/>
            <w:tcBorders>
              <w:top w:val="nil"/>
              <w:left w:val="single" w:sz="8" w:space="0" w:color="auto"/>
              <w:bottom w:val="single" w:sz="8" w:space="0" w:color="auto"/>
              <w:right w:val="single" w:sz="8" w:space="0" w:color="auto"/>
            </w:tcBorders>
            <w:vAlign w:val="center"/>
            <w:hideMark/>
          </w:tcPr>
          <w:p w14:paraId="1FF6EF09"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c>
          <w:tcPr>
            <w:tcW w:w="2484" w:type="dxa"/>
            <w:gridSpan w:val="2"/>
            <w:vMerge/>
            <w:tcBorders>
              <w:top w:val="nil"/>
              <w:left w:val="single" w:sz="8" w:space="0" w:color="auto"/>
              <w:bottom w:val="single" w:sz="8" w:space="0" w:color="auto"/>
              <w:right w:val="single" w:sz="8" w:space="0" w:color="auto"/>
            </w:tcBorders>
            <w:vAlign w:val="center"/>
            <w:hideMark/>
          </w:tcPr>
          <w:p w14:paraId="5F3CFA1E"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c>
          <w:tcPr>
            <w:tcW w:w="1403" w:type="dxa"/>
            <w:tcBorders>
              <w:top w:val="nil"/>
              <w:left w:val="nil"/>
              <w:bottom w:val="single" w:sz="8" w:space="0" w:color="00000A"/>
              <w:right w:val="single" w:sz="8" w:space="0" w:color="00000A"/>
            </w:tcBorders>
            <w:shd w:val="clear" w:color="000000" w:fill="FFFFFF"/>
            <w:vAlign w:val="center"/>
            <w:hideMark/>
          </w:tcPr>
          <w:p w14:paraId="41544689" w14:textId="77777777"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Calibri"/>
                <w:color w:val="000000"/>
                <w:sz w:val="18"/>
                <w:szCs w:val="18"/>
              </w:rPr>
              <w:t>Hậu Giang</w:t>
            </w:r>
          </w:p>
        </w:tc>
        <w:tc>
          <w:tcPr>
            <w:tcW w:w="717" w:type="dxa"/>
            <w:tcBorders>
              <w:top w:val="nil"/>
              <w:left w:val="nil"/>
              <w:bottom w:val="single" w:sz="8" w:space="0" w:color="00000A"/>
              <w:right w:val="single" w:sz="8" w:space="0" w:color="00000A"/>
            </w:tcBorders>
            <w:shd w:val="clear" w:color="000000" w:fill="FFFFFF"/>
            <w:vAlign w:val="center"/>
            <w:hideMark/>
          </w:tcPr>
          <w:p w14:paraId="5922D65A"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42.9</w:t>
            </w:r>
          </w:p>
        </w:tc>
        <w:tc>
          <w:tcPr>
            <w:tcW w:w="1904" w:type="dxa"/>
            <w:gridSpan w:val="2"/>
            <w:vMerge/>
            <w:tcBorders>
              <w:top w:val="nil"/>
              <w:left w:val="nil"/>
              <w:bottom w:val="single" w:sz="8" w:space="0" w:color="00000A"/>
              <w:right w:val="single" w:sz="8" w:space="0" w:color="00000A"/>
            </w:tcBorders>
            <w:vAlign w:val="bottom"/>
            <w:hideMark/>
          </w:tcPr>
          <w:p w14:paraId="288619B5"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r>
      <w:tr w:rsidR="00994D1E" w:rsidRPr="00994D1E" w14:paraId="575C36A2" w14:textId="77777777" w:rsidTr="00994D1E">
        <w:trPr>
          <w:trHeight w:val="300"/>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5C755BE5"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11</w:t>
            </w:r>
          </w:p>
        </w:tc>
        <w:tc>
          <w:tcPr>
            <w:tcW w:w="1721" w:type="dxa"/>
            <w:gridSpan w:val="2"/>
            <w:vMerge/>
            <w:tcBorders>
              <w:top w:val="nil"/>
              <w:left w:val="single" w:sz="8" w:space="0" w:color="auto"/>
              <w:bottom w:val="single" w:sz="8" w:space="0" w:color="auto"/>
              <w:right w:val="single" w:sz="8" w:space="0" w:color="auto"/>
            </w:tcBorders>
            <w:vAlign w:val="center"/>
            <w:hideMark/>
          </w:tcPr>
          <w:p w14:paraId="1D534845"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c>
          <w:tcPr>
            <w:tcW w:w="2484" w:type="dxa"/>
            <w:gridSpan w:val="2"/>
            <w:vMerge/>
            <w:tcBorders>
              <w:top w:val="nil"/>
              <w:left w:val="single" w:sz="8" w:space="0" w:color="auto"/>
              <w:bottom w:val="single" w:sz="8" w:space="0" w:color="auto"/>
              <w:right w:val="single" w:sz="8" w:space="0" w:color="auto"/>
            </w:tcBorders>
            <w:vAlign w:val="center"/>
            <w:hideMark/>
          </w:tcPr>
          <w:p w14:paraId="1F083E02"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c>
          <w:tcPr>
            <w:tcW w:w="1403" w:type="dxa"/>
            <w:tcBorders>
              <w:top w:val="nil"/>
              <w:left w:val="nil"/>
              <w:bottom w:val="single" w:sz="8" w:space="0" w:color="00000A"/>
              <w:right w:val="single" w:sz="8" w:space="0" w:color="00000A"/>
            </w:tcBorders>
            <w:shd w:val="clear" w:color="000000" w:fill="FFFFFF"/>
            <w:vAlign w:val="center"/>
            <w:hideMark/>
          </w:tcPr>
          <w:p w14:paraId="1A3F9C62" w14:textId="77777777"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Calibri"/>
                <w:color w:val="000000"/>
                <w:sz w:val="18"/>
                <w:szCs w:val="18"/>
              </w:rPr>
              <w:t>Bạc Liêu</w:t>
            </w:r>
          </w:p>
        </w:tc>
        <w:tc>
          <w:tcPr>
            <w:tcW w:w="717" w:type="dxa"/>
            <w:tcBorders>
              <w:top w:val="nil"/>
              <w:left w:val="nil"/>
              <w:bottom w:val="single" w:sz="8" w:space="0" w:color="00000A"/>
              <w:right w:val="single" w:sz="8" w:space="0" w:color="00000A"/>
            </w:tcBorders>
            <w:shd w:val="clear" w:color="000000" w:fill="FFFFFF"/>
            <w:vAlign w:val="center"/>
            <w:hideMark/>
          </w:tcPr>
          <w:p w14:paraId="155F2449"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40.25</w:t>
            </w:r>
          </w:p>
        </w:tc>
        <w:tc>
          <w:tcPr>
            <w:tcW w:w="1904" w:type="dxa"/>
            <w:gridSpan w:val="2"/>
            <w:vMerge/>
            <w:tcBorders>
              <w:top w:val="nil"/>
              <w:left w:val="nil"/>
              <w:bottom w:val="single" w:sz="8" w:space="0" w:color="00000A"/>
              <w:right w:val="single" w:sz="8" w:space="0" w:color="00000A"/>
            </w:tcBorders>
            <w:vAlign w:val="bottom"/>
            <w:hideMark/>
          </w:tcPr>
          <w:p w14:paraId="7DFFBF56"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r>
      <w:tr w:rsidR="00994D1E" w:rsidRPr="00994D1E" w14:paraId="1E9FEC30" w14:textId="77777777" w:rsidTr="00994D1E">
        <w:trPr>
          <w:trHeight w:val="300"/>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07A8D061"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12</w:t>
            </w:r>
          </w:p>
        </w:tc>
        <w:tc>
          <w:tcPr>
            <w:tcW w:w="1721" w:type="dxa"/>
            <w:gridSpan w:val="2"/>
            <w:vMerge/>
            <w:tcBorders>
              <w:top w:val="nil"/>
              <w:left w:val="single" w:sz="8" w:space="0" w:color="auto"/>
              <w:bottom w:val="single" w:sz="8" w:space="0" w:color="auto"/>
              <w:right w:val="single" w:sz="8" w:space="0" w:color="auto"/>
            </w:tcBorders>
            <w:vAlign w:val="center"/>
            <w:hideMark/>
          </w:tcPr>
          <w:p w14:paraId="724EBF73"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c>
          <w:tcPr>
            <w:tcW w:w="2484" w:type="dxa"/>
            <w:gridSpan w:val="2"/>
            <w:vMerge/>
            <w:tcBorders>
              <w:top w:val="nil"/>
              <w:left w:val="single" w:sz="8" w:space="0" w:color="auto"/>
              <w:bottom w:val="single" w:sz="8" w:space="0" w:color="auto"/>
              <w:right w:val="single" w:sz="8" w:space="0" w:color="auto"/>
            </w:tcBorders>
            <w:vAlign w:val="center"/>
            <w:hideMark/>
          </w:tcPr>
          <w:p w14:paraId="5213910B"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c>
          <w:tcPr>
            <w:tcW w:w="1403" w:type="dxa"/>
            <w:tcBorders>
              <w:top w:val="nil"/>
              <w:left w:val="nil"/>
              <w:bottom w:val="single" w:sz="8" w:space="0" w:color="00000A"/>
              <w:right w:val="single" w:sz="8" w:space="0" w:color="00000A"/>
            </w:tcBorders>
            <w:shd w:val="clear" w:color="000000" w:fill="FFFFFF"/>
            <w:vAlign w:val="center"/>
            <w:hideMark/>
          </w:tcPr>
          <w:p w14:paraId="53B02CFC" w14:textId="77777777"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Calibri"/>
                <w:color w:val="000000"/>
                <w:sz w:val="18"/>
                <w:szCs w:val="18"/>
              </w:rPr>
              <w:t>Kiên Giang</w:t>
            </w:r>
          </w:p>
        </w:tc>
        <w:tc>
          <w:tcPr>
            <w:tcW w:w="717" w:type="dxa"/>
            <w:tcBorders>
              <w:top w:val="nil"/>
              <w:left w:val="nil"/>
              <w:bottom w:val="single" w:sz="8" w:space="0" w:color="00000A"/>
              <w:right w:val="single" w:sz="8" w:space="0" w:color="00000A"/>
            </w:tcBorders>
            <w:shd w:val="clear" w:color="000000" w:fill="FFFFFF"/>
            <w:vAlign w:val="center"/>
            <w:hideMark/>
          </w:tcPr>
          <w:p w14:paraId="28BA9F28"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29.8</w:t>
            </w:r>
          </w:p>
        </w:tc>
        <w:tc>
          <w:tcPr>
            <w:tcW w:w="1904" w:type="dxa"/>
            <w:gridSpan w:val="2"/>
            <w:vMerge/>
            <w:tcBorders>
              <w:top w:val="nil"/>
              <w:left w:val="nil"/>
              <w:bottom w:val="single" w:sz="8" w:space="0" w:color="00000A"/>
              <w:right w:val="single" w:sz="8" w:space="0" w:color="00000A"/>
            </w:tcBorders>
            <w:vAlign w:val="bottom"/>
            <w:hideMark/>
          </w:tcPr>
          <w:p w14:paraId="1A7892AE"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r>
      <w:tr w:rsidR="00994D1E" w:rsidRPr="00994D1E" w14:paraId="51EB829F" w14:textId="77777777" w:rsidTr="00994D1E">
        <w:trPr>
          <w:trHeight w:val="300"/>
        </w:trPr>
        <w:tc>
          <w:tcPr>
            <w:tcW w:w="941" w:type="dxa"/>
            <w:tcBorders>
              <w:top w:val="nil"/>
              <w:left w:val="single" w:sz="8" w:space="0" w:color="auto"/>
              <w:bottom w:val="single" w:sz="8" w:space="0" w:color="auto"/>
              <w:right w:val="single" w:sz="8" w:space="0" w:color="auto"/>
            </w:tcBorders>
            <w:shd w:val="clear" w:color="auto" w:fill="auto"/>
            <w:vAlign w:val="center"/>
            <w:hideMark/>
          </w:tcPr>
          <w:p w14:paraId="7834B225"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13</w:t>
            </w:r>
          </w:p>
        </w:tc>
        <w:tc>
          <w:tcPr>
            <w:tcW w:w="1721" w:type="dxa"/>
            <w:gridSpan w:val="2"/>
            <w:vMerge/>
            <w:tcBorders>
              <w:top w:val="nil"/>
              <w:left w:val="single" w:sz="8" w:space="0" w:color="auto"/>
              <w:bottom w:val="single" w:sz="8" w:space="0" w:color="auto"/>
              <w:right w:val="single" w:sz="8" w:space="0" w:color="auto"/>
            </w:tcBorders>
            <w:vAlign w:val="center"/>
            <w:hideMark/>
          </w:tcPr>
          <w:p w14:paraId="18A324F0"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c>
          <w:tcPr>
            <w:tcW w:w="2484" w:type="dxa"/>
            <w:gridSpan w:val="2"/>
            <w:vMerge/>
            <w:tcBorders>
              <w:top w:val="nil"/>
              <w:left w:val="single" w:sz="8" w:space="0" w:color="auto"/>
              <w:bottom w:val="single" w:sz="8" w:space="0" w:color="auto"/>
              <w:right w:val="single" w:sz="8" w:space="0" w:color="auto"/>
            </w:tcBorders>
            <w:vAlign w:val="center"/>
            <w:hideMark/>
          </w:tcPr>
          <w:p w14:paraId="45CCC974"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c>
          <w:tcPr>
            <w:tcW w:w="1403" w:type="dxa"/>
            <w:tcBorders>
              <w:top w:val="nil"/>
              <w:left w:val="nil"/>
              <w:bottom w:val="single" w:sz="8" w:space="0" w:color="auto"/>
              <w:right w:val="single" w:sz="8" w:space="0" w:color="00000A"/>
            </w:tcBorders>
            <w:shd w:val="clear" w:color="000000" w:fill="FFFFFF"/>
            <w:vAlign w:val="center"/>
            <w:hideMark/>
          </w:tcPr>
          <w:p w14:paraId="5C593ECE" w14:textId="77777777" w:rsidR="00994D1E" w:rsidRPr="00994D1E" w:rsidRDefault="00994D1E" w:rsidP="00994D1E">
            <w:pPr>
              <w:suppressAutoHyphens w:val="0"/>
              <w:spacing w:before="0" w:after="0" w:line="240" w:lineRule="auto"/>
              <w:rPr>
                <w:rFonts w:asciiTheme="minorHAnsi" w:hAnsiTheme="minorHAnsi" w:cs="Calibri"/>
                <w:color w:val="000000"/>
                <w:sz w:val="18"/>
                <w:szCs w:val="18"/>
              </w:rPr>
            </w:pPr>
            <w:r w:rsidRPr="00994D1E">
              <w:rPr>
                <w:rFonts w:asciiTheme="minorHAnsi" w:hAnsiTheme="minorHAnsi" w:cs="Calibri"/>
                <w:color w:val="000000"/>
                <w:sz w:val="18"/>
                <w:szCs w:val="18"/>
              </w:rPr>
              <w:t>Đồng Tháp</w:t>
            </w:r>
          </w:p>
        </w:tc>
        <w:tc>
          <w:tcPr>
            <w:tcW w:w="717" w:type="dxa"/>
            <w:tcBorders>
              <w:top w:val="nil"/>
              <w:left w:val="nil"/>
              <w:bottom w:val="single" w:sz="8" w:space="0" w:color="auto"/>
              <w:right w:val="single" w:sz="8" w:space="0" w:color="00000A"/>
            </w:tcBorders>
            <w:shd w:val="clear" w:color="000000" w:fill="FFFFFF"/>
            <w:vAlign w:val="center"/>
            <w:hideMark/>
          </w:tcPr>
          <w:p w14:paraId="66CB529B" w14:textId="77777777" w:rsidR="00994D1E" w:rsidRPr="00994D1E" w:rsidRDefault="00994D1E" w:rsidP="00994D1E">
            <w:pPr>
              <w:suppressAutoHyphens w:val="0"/>
              <w:spacing w:before="0" w:after="0" w:line="240" w:lineRule="auto"/>
              <w:jc w:val="right"/>
              <w:rPr>
                <w:rFonts w:asciiTheme="minorHAnsi" w:hAnsiTheme="minorHAnsi" w:cs="Calibri"/>
                <w:color w:val="000000"/>
                <w:sz w:val="18"/>
                <w:szCs w:val="18"/>
              </w:rPr>
            </w:pPr>
            <w:r w:rsidRPr="00994D1E">
              <w:rPr>
                <w:rFonts w:asciiTheme="minorHAnsi" w:hAnsiTheme="minorHAnsi" w:cs="Calibri"/>
                <w:color w:val="000000"/>
                <w:sz w:val="18"/>
                <w:szCs w:val="18"/>
              </w:rPr>
              <w:t>7.9</w:t>
            </w:r>
          </w:p>
        </w:tc>
        <w:tc>
          <w:tcPr>
            <w:tcW w:w="1904" w:type="dxa"/>
            <w:gridSpan w:val="2"/>
            <w:vMerge/>
            <w:tcBorders>
              <w:top w:val="nil"/>
              <w:left w:val="nil"/>
              <w:bottom w:val="single" w:sz="8" w:space="0" w:color="auto"/>
              <w:right w:val="single" w:sz="8" w:space="0" w:color="00000A"/>
            </w:tcBorders>
            <w:vAlign w:val="bottom"/>
            <w:hideMark/>
          </w:tcPr>
          <w:p w14:paraId="212CE21F" w14:textId="77777777" w:rsidR="00994D1E" w:rsidRPr="00994D1E" w:rsidRDefault="00994D1E" w:rsidP="00994D1E">
            <w:pPr>
              <w:suppressAutoHyphens w:val="0"/>
              <w:spacing w:before="0" w:after="0" w:line="240" w:lineRule="auto"/>
              <w:jc w:val="left"/>
              <w:rPr>
                <w:rFonts w:asciiTheme="minorHAnsi" w:hAnsiTheme="minorHAnsi" w:cs="Calibri"/>
                <w:color w:val="000000"/>
                <w:sz w:val="18"/>
                <w:szCs w:val="18"/>
              </w:rPr>
            </w:pPr>
          </w:p>
        </w:tc>
      </w:tr>
      <w:tr w:rsidR="009C2A54" w:rsidRPr="00994D1E" w14:paraId="19B9DD17" w14:textId="77777777" w:rsidTr="009C2A54">
        <w:trPr>
          <w:trHeight w:val="288"/>
        </w:trPr>
        <w:tc>
          <w:tcPr>
            <w:tcW w:w="9170" w:type="dxa"/>
            <w:gridSpan w:val="9"/>
            <w:tcBorders>
              <w:top w:val="single" w:sz="4" w:space="0" w:color="auto"/>
              <w:left w:val="nil"/>
              <w:bottom w:val="nil"/>
              <w:right w:val="nil"/>
            </w:tcBorders>
            <w:shd w:val="clear" w:color="auto" w:fill="auto"/>
            <w:vAlign w:val="center"/>
            <w:hideMark/>
          </w:tcPr>
          <w:p w14:paraId="52FEF2EA" w14:textId="77777777" w:rsidR="009C2A54" w:rsidRPr="00994D1E" w:rsidRDefault="009C2A54" w:rsidP="009C2A54">
            <w:pPr>
              <w:suppressAutoHyphens w:val="0"/>
              <w:spacing w:before="0" w:after="0" w:line="240" w:lineRule="auto"/>
              <w:jc w:val="right"/>
              <w:rPr>
                <w:rFonts w:asciiTheme="minorHAnsi" w:hAnsiTheme="minorHAnsi"/>
                <w:i/>
                <w:iCs/>
                <w:color w:val="000000"/>
                <w:sz w:val="18"/>
                <w:szCs w:val="18"/>
              </w:rPr>
            </w:pPr>
            <w:r w:rsidRPr="00994D1E">
              <w:rPr>
                <w:rFonts w:asciiTheme="minorHAnsi" w:eastAsiaTheme="minorHAnsi" w:hAnsiTheme="minorHAnsi"/>
                <w:i/>
                <w:iCs/>
                <w:color w:val="000000"/>
                <w:sz w:val="18"/>
                <w:szCs w:val="18"/>
              </w:rPr>
              <w:t>Nguồn: Kết quả chấm POBI 2019</w:t>
            </w:r>
          </w:p>
        </w:tc>
      </w:tr>
    </w:tbl>
    <w:p w14:paraId="47F99ECB" w14:textId="77777777" w:rsidR="005E0D1F" w:rsidRDefault="005E0D1F">
      <w:pPr>
        <w:pStyle w:val="BodyText"/>
      </w:pPr>
    </w:p>
    <w:p w14:paraId="2AE14E1F" w14:textId="423A0E3F" w:rsidR="00F94968" w:rsidRDefault="00895B5A">
      <w:pPr>
        <w:pStyle w:val="BodyText"/>
      </w:pPr>
      <w:r>
        <w:t>Duyên hải Nam-Trung Bộ là vùng có điểm POBI trung bình cao nhất cả nước, đạt 7</w:t>
      </w:r>
      <w:r w:rsidR="00C12FEE">
        <w:t>7</w:t>
      </w:r>
      <w:r>
        <w:t>.</w:t>
      </w:r>
      <w:r w:rsidR="00C12FEE">
        <w:t>16</w:t>
      </w:r>
      <w:r w:rsidR="00F3597B">
        <w:t xml:space="preserve"> </w:t>
      </w:r>
      <w:r>
        <w:t>điểm, cao hơn mức trung bình của cả nước (</w:t>
      </w:r>
      <w:r w:rsidR="009D0776">
        <w:t>65.55</w:t>
      </w:r>
      <w:r>
        <w:t xml:space="preserve"> điểm). Trong khi đó khu vực được kỳ vọng là có số điểm POBI cao là vùng Đồng bằng sông Hồng lại có số điểm trung bình thấp thứ 4 trong 7 vùng địa lý, chỉ đạt 6</w:t>
      </w:r>
      <w:r w:rsidR="00C12FEE">
        <w:t>8</w:t>
      </w:r>
      <w:r>
        <w:t>.</w:t>
      </w:r>
      <w:r w:rsidR="00C12FEE">
        <w:t>24</w:t>
      </w:r>
      <w:r>
        <w:t xml:space="preserve"> điểm.</w:t>
      </w:r>
    </w:p>
    <w:p w14:paraId="79331038" w14:textId="1DD57C26" w:rsidR="0081312B" w:rsidRDefault="0081312B" w:rsidP="0081312B">
      <w:pPr>
        <w:pStyle w:val="Caption"/>
        <w:keepNext/>
      </w:pPr>
      <w:r>
        <w:lastRenderedPageBreak/>
        <w:t xml:space="preserve">Hình </w:t>
      </w:r>
      <w:r w:rsidR="002E3AAA">
        <w:fldChar w:fldCharType="begin"/>
      </w:r>
      <w:r w:rsidR="002E3AAA">
        <w:instrText xml:space="preserve"> SEQ Hình \* ARABIC </w:instrText>
      </w:r>
      <w:r w:rsidR="002E3AAA">
        <w:fldChar w:fldCharType="separate"/>
      </w:r>
      <w:r w:rsidR="0067281F">
        <w:rPr>
          <w:noProof/>
        </w:rPr>
        <w:t>4</w:t>
      </w:r>
      <w:r w:rsidR="002E3AAA">
        <w:rPr>
          <w:noProof/>
        </w:rPr>
        <w:fldChar w:fldCharType="end"/>
      </w:r>
      <w:r>
        <w:t>: Kết quả chấm POBI trung bình theo từng vùng</w:t>
      </w:r>
    </w:p>
    <w:p w14:paraId="1A505177" w14:textId="09F9430E" w:rsidR="0081312B" w:rsidRDefault="003220C6" w:rsidP="0081312B">
      <w:pPr>
        <w:pStyle w:val="BodyText"/>
        <w:jc w:val="center"/>
      </w:pPr>
      <w:r>
        <w:rPr>
          <w:noProof/>
        </w:rPr>
        <w:drawing>
          <wp:inline distT="0" distB="0" distL="0" distR="0" wp14:anchorId="3A8E2A4E" wp14:editId="7845A80C">
            <wp:extent cx="4572000" cy="2743200"/>
            <wp:effectExtent l="0" t="0" r="0" b="0"/>
            <wp:docPr id="54" name="Chart 54">
              <a:extLst xmlns:a="http://schemas.openxmlformats.org/drawingml/2006/main">
                <a:ext uri="{FF2B5EF4-FFF2-40B4-BE49-F238E27FC236}">
                  <a16:creationId xmlns:a16="http://schemas.microsoft.com/office/drawing/2014/main" id="{9CA65EB0-2082-4501-A39B-0EBD71F5C4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6CC861E" w14:textId="77777777" w:rsidR="002A57FE" w:rsidRPr="002A57FE" w:rsidRDefault="002A57FE" w:rsidP="002A57FE">
      <w:pPr>
        <w:pStyle w:val="FigureNotation"/>
        <w:rPr>
          <w:color w:val="auto"/>
        </w:rPr>
      </w:pPr>
      <w:r w:rsidRPr="00584C16">
        <w:rPr>
          <w:color w:val="auto"/>
        </w:rPr>
        <w:t>Nguồn: Kết quả khảo sát POBI 2019</w:t>
      </w:r>
    </w:p>
    <w:p w14:paraId="69E6D028" w14:textId="77777777" w:rsidR="002A57FE" w:rsidRDefault="002A57FE" w:rsidP="002A57FE">
      <w:pPr>
        <w:pStyle w:val="BodyText"/>
      </w:pPr>
    </w:p>
    <w:p w14:paraId="0055134A" w14:textId="3067B021" w:rsidR="00F94968" w:rsidRDefault="00C6098C">
      <w:pPr>
        <w:pStyle w:val="Heading2"/>
      </w:pPr>
      <w:bookmarkStart w:id="23" w:name="X80ed2f1c1cf9fc3588fb4c80be201bad73319ef"/>
      <w:r>
        <w:lastRenderedPageBreak/>
        <w:t xml:space="preserve">Chương II: </w:t>
      </w:r>
      <w:r w:rsidR="00895B5A">
        <w:t>Xếp hạng về sự tham gia của người dân vào quá trình công khai ngân sách</w:t>
      </w:r>
      <w:bookmarkEnd w:id="23"/>
    </w:p>
    <w:p w14:paraId="38DE8FFC" w14:textId="1E4FA214" w:rsidR="00F94968" w:rsidRDefault="00895B5A">
      <w:pPr>
        <w:pStyle w:val="BodyText"/>
      </w:pPr>
      <w:r>
        <w:t>Đây là năm thứ hai khảo sát POBI đưa tiêu chí về sự tham gia của người dân trong chu trình ngân sách địa phương vào nội dung khảo sát. Các nội dung đánh giá bao gồm việc Sở Tài chính các tỉnh có phương thức giao tiếp, trao đổi với người dân trên cổng thông tin điện tử về vấn đề ngân sách</w:t>
      </w:r>
      <w:r w:rsidR="007D492F">
        <w:t xml:space="preserve"> và các ý kiến, kiến nghị của cử tri về vấn đề ngân sách được HĐND, MTTQ tỉnh tổng hợp và công khai trên cổng thông tin điện từ.</w:t>
      </w:r>
      <w:r>
        <w:t>Kết quả khảo sát POBI 2019 về mức độ tham gia của người dân cho thấy nhìn chung các tỉnh ÍT tạo điều kiện để người dân tham gia vào quá trình công khai minh bạch ngân sách. Số điểm quy đổi trung bình của 63 tỉnh thành phố là 3</w:t>
      </w:r>
      <w:r w:rsidR="00704408">
        <w:t>8</w:t>
      </w:r>
      <w:r>
        <w:t>.</w:t>
      </w:r>
      <w:r w:rsidR="00704408">
        <w:t>02</w:t>
      </w:r>
      <w:r>
        <w:t xml:space="preserve"> điểm. Tỉnh Vĩnh Long đạt điểm số cao nhất với 90 điểm. Phú Yên và Thái Bình là 2 tỉnh có số điểm bằng nhau và là các tỉnh có số điểm thấp nhất cả nước (10 điểm).</w:t>
      </w:r>
    </w:p>
    <w:p w14:paraId="6846648C" w14:textId="69243A9B" w:rsidR="007D492F" w:rsidRDefault="00895B5A">
      <w:pPr>
        <w:pStyle w:val="BodyText"/>
      </w:pPr>
      <w:r>
        <w:t xml:space="preserve">Có rất ít tỉnh phản hồi các câu hỏi của nhóm nghiên cứu gửi qua email liên hệ. Cụ thể hơn, chỉ có </w:t>
      </w:r>
      <w:r w:rsidR="007D492F">
        <w:t>8</w:t>
      </w:r>
      <w:r>
        <w:t xml:space="preserve"> trong số 63 tỉnh thành phản hồi qua email liên hệ</w:t>
      </w:r>
      <w:r w:rsidR="00954F6B">
        <w:t xml:space="preserve"> (tăng 2 tỉnh so với 2018)</w:t>
      </w:r>
      <w:r>
        <w:t xml:space="preserve">, bao gồm: </w:t>
      </w:r>
      <w:r w:rsidR="00954F6B">
        <w:t xml:space="preserve">Vĩnh Long, </w:t>
      </w:r>
      <w:r w:rsidR="007D492F">
        <w:t xml:space="preserve">Bến Tre, </w:t>
      </w:r>
      <w:r>
        <w:t xml:space="preserve">Cao Bằng, </w:t>
      </w:r>
      <w:r w:rsidR="007D492F">
        <w:t xml:space="preserve">Hà Giang, </w:t>
      </w:r>
      <w:r>
        <w:t xml:space="preserve">Quảng Nam, </w:t>
      </w:r>
      <w:r w:rsidR="007D492F">
        <w:t>Thừa Thiên Huế, Hải Phòng</w:t>
      </w:r>
      <w:r w:rsidR="00954F6B">
        <w:t xml:space="preserve"> và</w:t>
      </w:r>
      <w:r w:rsidR="007D492F">
        <w:t xml:space="preserve"> </w:t>
      </w:r>
      <w:r>
        <w:t xml:space="preserve">TP. Hồ Chí Minh. </w:t>
      </w:r>
      <w:r w:rsidR="00954F6B">
        <w:t xml:space="preserve">Vĩnh Long là tỉnh duy nhất trong số 63 tỉnh có trả lời email của nhóm nghiên cứu trong </w:t>
      </w:r>
      <w:r w:rsidR="000C6A50">
        <w:t xml:space="preserve">cả </w:t>
      </w:r>
      <w:r w:rsidR="00954F6B">
        <w:t>hai kỳ khảo sát POBI</w:t>
      </w:r>
      <w:r w:rsidR="005C7C86">
        <w:t xml:space="preserve"> </w:t>
      </w:r>
      <w:r w:rsidR="00954F6B">
        <w:t xml:space="preserve">2018 và </w:t>
      </w:r>
      <w:r w:rsidR="005C7C86">
        <w:t xml:space="preserve">POBI </w:t>
      </w:r>
      <w:r w:rsidR="00954F6B">
        <w:t xml:space="preserve">2019. </w:t>
      </w:r>
      <w:r>
        <w:t xml:space="preserve">Trong số các phản hồi nhóm nghiên cứu nhận được từ email liên hệ, có </w:t>
      </w:r>
      <w:r w:rsidR="00C601F9">
        <w:t>6</w:t>
      </w:r>
      <w:r>
        <w:t xml:space="preserve"> phản hồi được nhận trong vòng 15 ngày kể từ ngày gửi và </w:t>
      </w:r>
      <w:r w:rsidR="00C601F9">
        <w:t>2</w:t>
      </w:r>
      <w:r>
        <w:t xml:space="preserve"> phản hồi được nhận trong vòng 16 đến 30</w:t>
      </w:r>
      <w:r w:rsidR="00FF70DD">
        <w:t xml:space="preserve"> ngày</w:t>
      </w:r>
      <w:r>
        <w:t xml:space="preserve"> kể từ ngày gửi.</w:t>
      </w:r>
      <w:r w:rsidR="00954F6B">
        <w:t xml:space="preserve"> </w:t>
      </w:r>
    </w:p>
    <w:p w14:paraId="4AD7CB82" w14:textId="07DCF47B" w:rsidR="00112C95" w:rsidRDefault="00112C95" w:rsidP="00112C95">
      <w:pPr>
        <w:pStyle w:val="Caption"/>
        <w:keepNext/>
      </w:pPr>
      <w:r>
        <w:lastRenderedPageBreak/>
        <w:t xml:space="preserve">Hình </w:t>
      </w:r>
      <w:r w:rsidR="002E3AAA">
        <w:fldChar w:fldCharType="begin"/>
      </w:r>
      <w:r w:rsidR="002E3AAA">
        <w:instrText xml:space="preserve"> SEQ Hình \* ARABIC </w:instrText>
      </w:r>
      <w:r w:rsidR="002E3AAA">
        <w:fldChar w:fldCharType="separate"/>
      </w:r>
      <w:r w:rsidR="0067281F">
        <w:rPr>
          <w:noProof/>
        </w:rPr>
        <w:t>5</w:t>
      </w:r>
      <w:r w:rsidR="002E3AAA">
        <w:rPr>
          <w:noProof/>
        </w:rPr>
        <w:fldChar w:fldCharType="end"/>
      </w:r>
      <w:r>
        <w:t xml:space="preserve">: </w:t>
      </w:r>
      <w:r w:rsidRPr="00112C95">
        <w:rPr>
          <w:lang w:val="vi-VN"/>
        </w:rPr>
        <w:t>Xếp hạng về sự tham gia của người dân</w:t>
      </w:r>
    </w:p>
    <w:p w14:paraId="762BEE70" w14:textId="3A5A636B" w:rsidR="00112C95" w:rsidRDefault="00003B06" w:rsidP="00381B19">
      <w:pPr>
        <w:pStyle w:val="BodyText"/>
        <w:jc w:val="center"/>
      </w:pPr>
      <w:r w:rsidRPr="00003B06">
        <w:rPr>
          <w:noProof/>
        </w:rPr>
        <w:t xml:space="preserve"> </w:t>
      </w:r>
      <w:r w:rsidR="006F2BE4">
        <w:rPr>
          <w:noProof/>
        </w:rPr>
        <w:drawing>
          <wp:inline distT="0" distB="0" distL="0" distR="0" wp14:anchorId="38A4E600" wp14:editId="663D753E">
            <wp:extent cx="4762500" cy="8147050"/>
            <wp:effectExtent l="0" t="0" r="0" b="6350"/>
            <wp:docPr id="33" name="Chart 33">
              <a:extLst xmlns:a="http://schemas.openxmlformats.org/drawingml/2006/main">
                <a:ext uri="{FF2B5EF4-FFF2-40B4-BE49-F238E27FC236}">
                  <a16:creationId xmlns:a16="http://schemas.microsoft.com/office/drawing/2014/main" id="{00000000-0008-0000-02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7CC8435" w14:textId="0507499E" w:rsidR="003604DF" w:rsidRDefault="00F24093" w:rsidP="003604DF">
      <w:pPr>
        <w:pStyle w:val="Heading2"/>
      </w:pPr>
      <w:bookmarkStart w:id="24" w:name="X01930d01e2cf213c9819a3c2579cd765d3a4826"/>
      <w:r>
        <w:lastRenderedPageBreak/>
        <w:t xml:space="preserve">Chương </w:t>
      </w:r>
      <w:r w:rsidR="0096276F">
        <w:t>III</w:t>
      </w:r>
      <w:r>
        <w:t xml:space="preserve">: </w:t>
      </w:r>
      <w:r w:rsidR="003604DF">
        <w:t>Tình hình công khai các tài liệu ngân sách</w:t>
      </w:r>
      <w:bookmarkEnd w:id="24"/>
    </w:p>
    <w:p w14:paraId="1BF898F5" w14:textId="77777777" w:rsidR="003604DF" w:rsidRDefault="003604DF" w:rsidP="003604DF">
      <w:pPr>
        <w:pStyle w:val="FirstParagraph"/>
      </w:pPr>
      <w:r>
        <w:t>Chương này trình bày kết quả tình hình công khai theo các tài liệu ngân sách theo khảo sát POBI 2019. Nội dung của chương này cho biết mức độ sẵn có, tính kịp thời và tính đầy đủ của từng loại tài liệu ngân sách phải công bố bao gồm:</w:t>
      </w:r>
    </w:p>
    <w:p w14:paraId="43731A5E" w14:textId="77777777" w:rsidR="0031219E" w:rsidRDefault="003604DF" w:rsidP="003604DF">
      <w:pPr>
        <w:pStyle w:val="Compact"/>
        <w:numPr>
          <w:ilvl w:val="0"/>
          <w:numId w:val="10"/>
        </w:numPr>
      </w:pPr>
      <w:r>
        <w:t xml:space="preserve">Báo cáo Dự thảo dự toán ngân sách tỉnh năm 2020 trình Hội đồng nhân dân tỉnh </w:t>
      </w:r>
    </w:p>
    <w:p w14:paraId="2B10AF38" w14:textId="355B1129" w:rsidR="003604DF" w:rsidRDefault="003604DF" w:rsidP="003604DF">
      <w:pPr>
        <w:pStyle w:val="Compact"/>
        <w:numPr>
          <w:ilvl w:val="0"/>
          <w:numId w:val="10"/>
        </w:numPr>
      </w:pPr>
      <w:r>
        <w:t>Báo cáo dự toán ngân sách tỉnh năm 2020 đã được HĐND tỉnh quyết định</w:t>
      </w:r>
    </w:p>
    <w:p w14:paraId="3A1EC45F" w14:textId="77777777" w:rsidR="003604DF" w:rsidRDefault="003604DF" w:rsidP="003604DF">
      <w:pPr>
        <w:pStyle w:val="Compact"/>
        <w:numPr>
          <w:ilvl w:val="0"/>
          <w:numId w:val="10"/>
        </w:numPr>
      </w:pPr>
      <w:r>
        <w:t>Báo cáo tình hình thực hiện ngân sách tỉnh quý 1/2019</w:t>
      </w:r>
    </w:p>
    <w:p w14:paraId="49603FDC" w14:textId="77777777" w:rsidR="003604DF" w:rsidRDefault="003604DF" w:rsidP="003604DF">
      <w:pPr>
        <w:pStyle w:val="Compact"/>
        <w:numPr>
          <w:ilvl w:val="0"/>
          <w:numId w:val="10"/>
        </w:numPr>
      </w:pPr>
      <w:r>
        <w:t>Báo cáo tình hình thực hiện ngân sách tỉnh 6 tháng đầu năm 2019</w:t>
      </w:r>
    </w:p>
    <w:p w14:paraId="0C7EC27A" w14:textId="77777777" w:rsidR="003604DF" w:rsidRDefault="003604DF" w:rsidP="003604DF">
      <w:pPr>
        <w:pStyle w:val="Compact"/>
        <w:numPr>
          <w:ilvl w:val="0"/>
          <w:numId w:val="10"/>
        </w:numPr>
      </w:pPr>
      <w:r>
        <w:t>Báo cáo tình hình thực hiện ngân sách tỉnh 9 tháng 2019</w:t>
      </w:r>
    </w:p>
    <w:p w14:paraId="75F776D8" w14:textId="77777777" w:rsidR="003604DF" w:rsidRDefault="003604DF" w:rsidP="003604DF">
      <w:pPr>
        <w:pStyle w:val="Compact"/>
        <w:numPr>
          <w:ilvl w:val="0"/>
          <w:numId w:val="10"/>
        </w:numPr>
      </w:pPr>
      <w:r>
        <w:t>Báo cáo số liệu và thuyết minh tình hình thực hiện ngân sách tỉnh năm 2019</w:t>
      </w:r>
    </w:p>
    <w:p w14:paraId="319722F9" w14:textId="77777777" w:rsidR="003604DF" w:rsidRDefault="003604DF" w:rsidP="003604DF">
      <w:pPr>
        <w:pStyle w:val="Compact"/>
        <w:numPr>
          <w:ilvl w:val="0"/>
          <w:numId w:val="10"/>
        </w:numPr>
      </w:pPr>
      <w:r>
        <w:t>Báo cáo quyết toán ngân sách tỉnh năm 2018 đã được HĐND tỉnh phê chuẩn</w:t>
      </w:r>
    </w:p>
    <w:p w14:paraId="0E257085" w14:textId="77777777" w:rsidR="003604DF" w:rsidRDefault="003604DF" w:rsidP="003604DF">
      <w:pPr>
        <w:pStyle w:val="Compact"/>
        <w:numPr>
          <w:ilvl w:val="0"/>
          <w:numId w:val="10"/>
        </w:numPr>
      </w:pPr>
      <w:r>
        <w:t>Báo cáo ngân sách dành cho công dân</w:t>
      </w:r>
    </w:p>
    <w:p w14:paraId="4D5A4B6C" w14:textId="77777777" w:rsidR="003604DF" w:rsidRDefault="003604DF" w:rsidP="003604DF">
      <w:pPr>
        <w:pStyle w:val="Compact"/>
        <w:numPr>
          <w:ilvl w:val="0"/>
          <w:numId w:val="10"/>
        </w:numPr>
      </w:pPr>
      <w:r>
        <w:t>Danh mục dự án đầu tư công</w:t>
      </w:r>
    </w:p>
    <w:p w14:paraId="1C0C556A" w14:textId="77777777" w:rsidR="003604DF" w:rsidRDefault="003604DF" w:rsidP="003604DF">
      <w:pPr>
        <w:pStyle w:val="Compact"/>
        <w:numPr>
          <w:ilvl w:val="0"/>
          <w:numId w:val="10"/>
        </w:numPr>
      </w:pPr>
      <w:r>
        <w:t>Tình hình nợ công của tỉnh.</w:t>
      </w:r>
    </w:p>
    <w:p w14:paraId="3ED1CB55" w14:textId="2BE72059" w:rsidR="003604DF" w:rsidRDefault="007D492F" w:rsidP="003604DF">
      <w:pPr>
        <w:pStyle w:val="BodyText"/>
      </w:pPr>
      <w:r>
        <w:t>K</w:t>
      </w:r>
      <w:r w:rsidR="003604DF">
        <w:t>ết qủa chấm POBI 201</w:t>
      </w:r>
      <w:r w:rsidR="009A48BA">
        <w:t>7 và POBI 2018</w:t>
      </w:r>
      <w:r w:rsidR="003604DF">
        <w:t>, kết quả POBI 201</w:t>
      </w:r>
      <w:r w:rsidR="009A48BA">
        <w:t>9</w:t>
      </w:r>
      <w:r w:rsidR="003604DF">
        <w:t xml:space="preserve"> cho thấy có sự tiến bộ về công khai các tài liệu ngân sách ở các địa phương. Kết quả xếp hạng về chỉ số công khai ngân sách tỉnh năm 201</w:t>
      </w:r>
      <w:r w:rsidR="00C424A1">
        <w:t xml:space="preserve">9 </w:t>
      </w:r>
      <w:r w:rsidR="003604DF">
        <w:t>cho thấy có 24 tỉnh được xếp vào nhóm A, nhóm những tỉnh có mức điểm chấm POBI cao nhất từ 75 – 100 điểm và 2</w:t>
      </w:r>
      <w:r w:rsidR="00283FF6">
        <w:t>7</w:t>
      </w:r>
      <w:r w:rsidR="003604DF">
        <w:t xml:space="preserve"> tỉnh thuộc nhóm B. Điều này cho thấy có tới 44 tỉnh đứng trên xếp hạng trung bình - TƯƠNG ĐỐI công khai minh bạch.</w:t>
      </w:r>
    </w:p>
    <w:p w14:paraId="11724011" w14:textId="77777777" w:rsidR="003604DF" w:rsidRDefault="003604DF" w:rsidP="003604DF">
      <w:pPr>
        <w:pStyle w:val="BodyText"/>
      </w:pPr>
      <w:r>
        <w:t>Đối với 2 tài liệu khuyến khích công khai, mặc dù hiện tại các tài liệu này theo Luật NSNN 2015 chưa phải là tài liệu bắt buộc công khai. Tuy nhiên đây là những thông lệ quốc tế tốt mà các tỉnh nên thực hiện. Việc công khai các tài liệu này giúp người dân có hiểu biết tốt hơn về tình hình quản lý ngân sách tại địa phương.</w:t>
      </w:r>
    </w:p>
    <w:p w14:paraId="00AD27F2" w14:textId="59C32C1F" w:rsidR="003604DF" w:rsidRDefault="003604DF" w:rsidP="003604DF">
      <w:pPr>
        <w:pStyle w:val="Heading3"/>
        <w:numPr>
          <w:ilvl w:val="0"/>
          <w:numId w:val="15"/>
        </w:numPr>
      </w:pPr>
      <w:bookmarkStart w:id="25" w:name="X2a0508530e9209e4e6f9e39f02de3895c6c7d6f"/>
      <w:r>
        <w:t>Dự thảo Dự toán ngân sách tỉnh năm 20</w:t>
      </w:r>
      <w:r w:rsidR="00884A01">
        <w:t>20</w:t>
      </w:r>
      <w:r>
        <w:t xml:space="preserve"> trình HĐND tỉnh</w:t>
      </w:r>
      <w:bookmarkEnd w:id="25"/>
    </w:p>
    <w:p w14:paraId="0DE21D99" w14:textId="772FC265" w:rsidR="003604DF" w:rsidRDefault="003604DF" w:rsidP="003604DF">
      <w:pPr>
        <w:pStyle w:val="FirstParagraph"/>
      </w:pPr>
      <w:bookmarkStart w:id="26" w:name="_Hlk44944857"/>
      <w:r>
        <w:t xml:space="preserve">Kết quả khảo sát POBI 2019 cho thấy, mức độ công khai dự thảo dự toán ngân sách năm trình HĐND tỉnh </w:t>
      </w:r>
      <w:r w:rsidR="00D10333">
        <w:t xml:space="preserve">tiếp tục được </w:t>
      </w:r>
      <w:r>
        <w:t xml:space="preserve">cải thiện so với </w:t>
      </w:r>
      <w:r w:rsidR="00D10333">
        <w:t xml:space="preserve">các </w:t>
      </w:r>
      <w:r>
        <w:t>năm trước. Số tỉnh công khai tài liệu này</w:t>
      </w:r>
      <w:r w:rsidR="009505CA">
        <w:t xml:space="preserve"> trong POBI 2019</w:t>
      </w:r>
      <w:r>
        <w:t xml:space="preserve"> là </w:t>
      </w:r>
      <w:r w:rsidR="00736B2B">
        <w:t>5</w:t>
      </w:r>
      <w:r w:rsidR="00C877A9">
        <w:t>4</w:t>
      </w:r>
      <w:r>
        <w:t xml:space="preserve"> tỉnh, so với 47 tỉnh trong POBI 201</w:t>
      </w:r>
      <w:r w:rsidR="004501FA">
        <w:t>8</w:t>
      </w:r>
      <w:r>
        <w:t xml:space="preserve">. </w:t>
      </w:r>
      <w:r w:rsidR="00F415BE">
        <w:t>Ngoài ra,</w:t>
      </w:r>
      <w:r>
        <w:t xml:space="preserve"> tính kịp thời và tính đẩy đủ của tài liệu này được cải thiện nhiều so với năm 2018. Số tỉnh công bố đúng hạn tăng từ 29 tỉnh (46%) lên 3</w:t>
      </w:r>
      <w:r w:rsidR="003B7EB5">
        <w:t>6</w:t>
      </w:r>
      <w:r>
        <w:t xml:space="preserve"> tỉnh (5</w:t>
      </w:r>
      <w:r w:rsidR="003B7EB5">
        <w:t>7</w:t>
      </w:r>
      <w:r>
        <w:t>.</w:t>
      </w:r>
      <w:r w:rsidR="003B7EB5">
        <w:t>14</w:t>
      </w:r>
      <w:r>
        <w:t>%)</w:t>
      </w:r>
      <w:r w:rsidR="00A8014F">
        <w:t>.</w:t>
      </w:r>
    </w:p>
    <w:bookmarkEnd w:id="26"/>
    <w:p w14:paraId="36963047" w14:textId="1FF85BF9" w:rsidR="003604DF" w:rsidRDefault="003604DF" w:rsidP="007C6772">
      <w:pPr>
        <w:pStyle w:val="BodyText"/>
      </w:pPr>
      <w:r>
        <w:lastRenderedPageBreak/>
        <w:t>Tổng điểm quy đổi cho tài liệu Dự thảo dự toán ngân sách tỉnh trình HĐND năm 20</w:t>
      </w:r>
      <w:r w:rsidR="003B07D7">
        <w:t>20</w:t>
      </w:r>
      <w:r>
        <w:t xml:space="preserve"> là </w:t>
      </w:r>
      <w:r w:rsidR="002709B4">
        <w:t xml:space="preserve">18.64 </w:t>
      </w:r>
      <w:r>
        <w:t>điểm trong tổng số 100 điểm quy đổi POBI 201</w:t>
      </w:r>
      <w:r w:rsidR="003E69E3">
        <w:t>9</w:t>
      </w:r>
      <w:r>
        <w:t xml:space="preserve">. </w:t>
      </w:r>
      <w:r w:rsidR="00625A02">
        <w:t xml:space="preserve">Bạc Liêu, </w:t>
      </w:r>
      <w:r w:rsidR="00F2288D">
        <w:t>Bà Rịa – Vũng Tàu</w:t>
      </w:r>
      <w:r w:rsidR="00625A02">
        <w:t xml:space="preserve"> và Quảng Nam</w:t>
      </w:r>
      <w:r>
        <w:t xml:space="preserve"> </w:t>
      </w:r>
      <w:r w:rsidR="007C6772">
        <w:t>l</w:t>
      </w:r>
      <w:r>
        <w:t xml:space="preserve">à </w:t>
      </w:r>
      <w:r w:rsidR="00010DC4">
        <w:t xml:space="preserve">3 </w:t>
      </w:r>
      <w:r>
        <w:t>tỉnh đứng đầu bảng xếp hạng về công khai tài liệu Dự thảo dự toán ngân sách tỉnh trình HĐND với 1</w:t>
      </w:r>
      <w:r w:rsidR="00F2288D">
        <w:t>8</w:t>
      </w:r>
      <w:r>
        <w:t>.</w:t>
      </w:r>
      <w:r w:rsidR="00F2288D">
        <w:t>64</w:t>
      </w:r>
      <w:r>
        <w:t xml:space="preserve"> điểm, đạt điểm tối đa cho tài liệu này. </w:t>
      </w:r>
      <w:r w:rsidR="00715292">
        <w:t>Tiếp đó là c</w:t>
      </w:r>
      <w:r w:rsidR="007C6772">
        <w:t xml:space="preserve">ác tỉnh </w:t>
      </w:r>
      <w:r w:rsidR="00D266C9">
        <w:t>Quảng Ninh (17.49 điểm)</w:t>
      </w:r>
      <w:r w:rsidR="007C6772">
        <w:t xml:space="preserve">, </w:t>
      </w:r>
      <w:r w:rsidR="00D266C9">
        <w:t>Bình Định (17.22 điểm)</w:t>
      </w:r>
      <w:r w:rsidR="00CE3C26">
        <w:t>, và Hải Dương (16.95 điểm)</w:t>
      </w:r>
      <w:r>
        <w:t>. Các tỉnh không có tên trong danh sách xếp hạng là những tỉnh không công bố tài liệu này.</w:t>
      </w:r>
    </w:p>
    <w:p w14:paraId="71035931" w14:textId="4A9825B8" w:rsidR="00AC3F3D" w:rsidRDefault="00AC3F3D" w:rsidP="00100FB8">
      <w:pPr>
        <w:pStyle w:val="Caption"/>
        <w:keepNext/>
      </w:pPr>
      <w:r>
        <w:lastRenderedPageBreak/>
        <w:t xml:space="preserve">Hình </w:t>
      </w:r>
      <w:r w:rsidR="002E3AAA">
        <w:fldChar w:fldCharType="begin"/>
      </w:r>
      <w:r w:rsidR="002E3AAA">
        <w:instrText xml:space="preserve"> SEQ Hình \* ARABIC </w:instrText>
      </w:r>
      <w:r w:rsidR="002E3AAA">
        <w:fldChar w:fldCharType="separate"/>
      </w:r>
      <w:r w:rsidR="0067281F">
        <w:rPr>
          <w:noProof/>
        </w:rPr>
        <w:t>6</w:t>
      </w:r>
      <w:r w:rsidR="002E3AAA">
        <w:rPr>
          <w:noProof/>
        </w:rPr>
        <w:fldChar w:fldCharType="end"/>
      </w:r>
      <w:r>
        <w:t xml:space="preserve">: </w:t>
      </w:r>
      <w:r w:rsidRPr="00AC3F3D">
        <w:t>Xếp hạng các tỉnh công khai tài liệu Dự thảo dự toán ngân sách tỉnh năm 2020 trình HĐND tỉnh</w:t>
      </w:r>
    </w:p>
    <w:p w14:paraId="02A6CBA7" w14:textId="44B5839C" w:rsidR="00AC3F3D" w:rsidRDefault="00625A02" w:rsidP="00100FB8">
      <w:pPr>
        <w:pStyle w:val="BodyText"/>
        <w:jc w:val="center"/>
      </w:pPr>
      <w:r w:rsidRPr="00625A02">
        <w:rPr>
          <w:noProof/>
        </w:rPr>
        <w:t xml:space="preserve"> </w:t>
      </w:r>
      <w:r>
        <w:rPr>
          <w:noProof/>
        </w:rPr>
        <w:drawing>
          <wp:inline distT="0" distB="0" distL="0" distR="0" wp14:anchorId="157B5348" wp14:editId="503C244B">
            <wp:extent cx="5283200" cy="7956550"/>
            <wp:effectExtent l="0" t="0" r="12700" b="6350"/>
            <wp:docPr id="34" name="Chart 34">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Style w:val="CommentReference"/>
          <w:rFonts w:eastAsia="Times New Roman" w:cs="Times New Roman"/>
        </w:rPr>
        <w:t xml:space="preserve"> </w:t>
      </w:r>
    </w:p>
    <w:p w14:paraId="151CCECE" w14:textId="707A8FD7" w:rsidR="004F743C" w:rsidRDefault="004F743C" w:rsidP="00100FB8">
      <w:pPr>
        <w:pStyle w:val="BodyText"/>
      </w:pPr>
      <w:r>
        <w:lastRenderedPageBreak/>
        <w:t>Về thời điểm công khai Dự thảo dự toán ngân sách năm 20</w:t>
      </w:r>
      <w:r w:rsidR="00966473">
        <w:t>20</w:t>
      </w:r>
      <w:r>
        <w:t xml:space="preserve"> trình HĐND, chỉ có </w:t>
      </w:r>
      <w:r w:rsidR="00966473">
        <w:t>3</w:t>
      </w:r>
      <w:r w:rsidR="003F41C2">
        <w:t>6</w:t>
      </w:r>
      <w:r>
        <w:t xml:space="preserve"> số tỉnh công bố công khai đúng thời gian quy định là trong vòng 05 ngày làm việc kể từ ngày UBND tỉnh gửi báo cáo Dự thảo dự toán ngân sách tỉnh năm 2019 cho đại biểu HĐND tỉnh. Có </w:t>
      </w:r>
      <w:r w:rsidR="001E644C">
        <w:t>8</w:t>
      </w:r>
      <w:r>
        <w:t xml:space="preserve"> tỉnh công bố sau 05 ngày và trong khoảng 30 ngày và có </w:t>
      </w:r>
      <w:r w:rsidR="001E644C">
        <w:t xml:space="preserve">10 </w:t>
      </w:r>
      <w:r>
        <w:t xml:space="preserve">tỉnh công bố sau 30 ngày hoặc không xác định được chính xác thời điểm công bố. Kết quả khảo sát cũng cho thấy có tới </w:t>
      </w:r>
      <w:r w:rsidR="00E022BA">
        <w:t>1</w:t>
      </w:r>
      <w:r w:rsidR="0024248E">
        <w:t>0</w:t>
      </w:r>
      <w:r>
        <w:t xml:space="preserve"> tỉnh không công bố công khai hoặc chỉ công khai nội bộ loại tài liệu này.</w:t>
      </w:r>
    </w:p>
    <w:p w14:paraId="58B0D33E" w14:textId="3FF9BC0F" w:rsidR="00FB5D51" w:rsidRDefault="00FB5D51" w:rsidP="00100FB8">
      <w:pPr>
        <w:pStyle w:val="Caption"/>
        <w:keepNext/>
      </w:pPr>
      <w:r>
        <w:t xml:space="preserve">Hình </w:t>
      </w:r>
      <w:r w:rsidR="002E3AAA">
        <w:fldChar w:fldCharType="begin"/>
      </w:r>
      <w:r w:rsidR="002E3AAA">
        <w:instrText xml:space="preserve"> SEQ Hình \* ARABIC </w:instrText>
      </w:r>
      <w:r w:rsidR="002E3AAA">
        <w:fldChar w:fldCharType="separate"/>
      </w:r>
      <w:r w:rsidR="0067281F">
        <w:rPr>
          <w:noProof/>
        </w:rPr>
        <w:t>7</w:t>
      </w:r>
      <w:r w:rsidR="002E3AAA">
        <w:rPr>
          <w:noProof/>
        </w:rPr>
        <w:fldChar w:fldCharType="end"/>
      </w:r>
      <w:r>
        <w:t xml:space="preserve">: </w:t>
      </w:r>
      <w:r w:rsidRPr="00FB5D51">
        <w:t>Số tỉnh công bố tài liệu Dự thảo dự toán ngân sách tỉnh năm 2020 trình HĐND tỉnh, phân theo thời gi</w:t>
      </w:r>
      <w:r>
        <w:t>an công khai đúng hạn</w:t>
      </w:r>
    </w:p>
    <w:p w14:paraId="68C2BF37" w14:textId="27A52894" w:rsidR="00FB5D51" w:rsidRDefault="00041DC8" w:rsidP="00821CDE">
      <w:pPr>
        <w:pStyle w:val="BodyText"/>
        <w:jc w:val="center"/>
      </w:pPr>
      <w:r>
        <w:rPr>
          <w:noProof/>
        </w:rPr>
        <w:drawing>
          <wp:inline distT="0" distB="0" distL="0" distR="0" wp14:anchorId="06128186" wp14:editId="6993928F">
            <wp:extent cx="4191000" cy="2463800"/>
            <wp:effectExtent l="0" t="0" r="0" b="12700"/>
            <wp:docPr id="35" name="Chart 35">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D8736C2" w14:textId="221B5D54" w:rsidR="003604DF" w:rsidRDefault="008C5ED3" w:rsidP="003604DF">
      <w:pPr>
        <w:pStyle w:val="BodyText"/>
      </w:pPr>
      <w:r>
        <w:t xml:space="preserve">Theo quy định tại Thông tư 343, tài liệu Dự thảo dự toán ngân sách tỉnh năm 2019 trình HĐND tỉnh phải được công khai kèm theo đầy đủ phụ lục 13 bảng biểu bao gồm các biểu từ biểu số 33 đến biểu số 45. </w:t>
      </w:r>
      <w:r w:rsidR="003604DF">
        <w:t xml:space="preserve">Trong số </w:t>
      </w:r>
      <w:r w:rsidR="00F1227D">
        <w:t>52</w:t>
      </w:r>
      <w:r w:rsidR="003604DF">
        <w:t xml:space="preserve"> tỉnh có công bố Dự thảo dự toán ngân sách tỉnh năm 20</w:t>
      </w:r>
      <w:r w:rsidR="00C77E0E">
        <w:t>20</w:t>
      </w:r>
      <w:r w:rsidR="003604DF">
        <w:t xml:space="preserve"> trình HĐND tỉnh thì chỉ có 1</w:t>
      </w:r>
      <w:r w:rsidR="00A83B90">
        <w:t>8</w:t>
      </w:r>
      <w:r w:rsidR="003604DF">
        <w:t xml:space="preserve"> tỉnh công bố đầy đủ 13 bảng biểu theo quy định của Thông tư 343 (chiếm tỉ lệ </w:t>
      </w:r>
      <w:r w:rsidR="00644615">
        <w:t>2</w:t>
      </w:r>
      <w:r w:rsidR="00CB5BEB">
        <w:t>8</w:t>
      </w:r>
      <w:r w:rsidR="003604DF">
        <w:t>.</w:t>
      </w:r>
      <w:r w:rsidR="00CB5BEB">
        <w:t>57</w:t>
      </w:r>
      <w:r w:rsidR="003604DF">
        <w:t>% trong tổng số 63 tỉnh thành), 2</w:t>
      </w:r>
      <w:r w:rsidR="0014167A">
        <w:t>7</w:t>
      </w:r>
      <w:r w:rsidR="003604DF">
        <w:t xml:space="preserve"> tỉnh phản ánh 7 đến 12 biểu (chiếm tỉ lệ </w:t>
      </w:r>
      <w:r w:rsidR="00710C04">
        <w:t>42</w:t>
      </w:r>
      <w:r w:rsidR="003604DF">
        <w:t>.</w:t>
      </w:r>
      <w:r w:rsidR="007737A1">
        <w:t>8</w:t>
      </w:r>
      <w:r w:rsidR="00710C04">
        <w:t>6</w:t>
      </w:r>
      <w:r w:rsidR="003604DF">
        <w:t xml:space="preserve">% trong tổng số 63 tỉnh thành) và </w:t>
      </w:r>
      <w:r w:rsidR="00564865">
        <w:t>9</w:t>
      </w:r>
      <w:r w:rsidR="003604DF">
        <w:t xml:space="preserve"> tỉnh (chiếm tỉ lệ </w:t>
      </w:r>
      <w:r w:rsidR="00A07458">
        <w:t>14</w:t>
      </w:r>
      <w:r w:rsidR="003604DF">
        <w:t>.</w:t>
      </w:r>
      <w:r w:rsidR="00A07458">
        <w:t>29</w:t>
      </w:r>
      <w:r w:rsidR="003604DF">
        <w:t>% trong tổng số 63 tỉnh thành)</w:t>
      </w:r>
      <w:r w:rsidR="007737A1">
        <w:t xml:space="preserve"> phản ánh dưới 7 biểu hoặc</w:t>
      </w:r>
      <w:r w:rsidR="003604DF">
        <w:t xml:space="preserve"> không có phụ lục bảng biểu kèm theo.</w:t>
      </w:r>
    </w:p>
    <w:p w14:paraId="474CB4E0" w14:textId="643FEB2F" w:rsidR="003604DF" w:rsidRDefault="003604DF" w:rsidP="003604DF">
      <w:pPr>
        <w:pStyle w:val="BodyText"/>
      </w:pPr>
      <w:r>
        <w:t>Trong khảo sát POBI 2018, nhóm nghiên cứu tiến hành việc chấm điểm đầy đủ trong việc công khai nội dung các bảng biểu số 33 – biểu về Cân đối ngân sách, biểu số 35 – biểu về Dự toán thu NSNN và biểu số 39 – biểu về Dự toán chi đầu tư phát triển của ngân sách cấp tỉnh cho từng cơ quan, tổ chức theo lĩnh vực.</w:t>
      </w:r>
    </w:p>
    <w:p w14:paraId="64C3CDB7" w14:textId="6AAE3718" w:rsidR="003604DF" w:rsidRDefault="003604DF" w:rsidP="003604DF">
      <w:pPr>
        <w:pStyle w:val="BodyText"/>
      </w:pPr>
      <w:r>
        <w:t>Kết quả khảo sát POBI 201</w:t>
      </w:r>
      <w:r w:rsidR="007322E8">
        <w:t>9</w:t>
      </w:r>
      <w:r>
        <w:t xml:space="preserve"> cho thấy, đối với biểu số 33, chỉ có </w:t>
      </w:r>
      <w:r w:rsidR="003A5BD0">
        <w:t>3</w:t>
      </w:r>
      <w:r w:rsidR="00C9645F">
        <w:t>7</w:t>
      </w:r>
      <w:r w:rsidR="003A5BD0">
        <w:t xml:space="preserve"> tỉnh</w:t>
      </w:r>
      <w:r>
        <w:t xml:space="preserve"> trong tổng số 63 tỉnh là phản ánh đầy đủ cả 5 mục lớn và chi tiết các mục nhỏ theo quy định, </w:t>
      </w:r>
      <w:r w:rsidR="00277B02">
        <w:t xml:space="preserve">10 </w:t>
      </w:r>
      <w:r>
        <w:t xml:space="preserve">tỉnh có phản ánh đầy đủ cả 5 mục lớn nhưng không chi tiết các mục nhỏ theo quy định, </w:t>
      </w:r>
      <w:r w:rsidR="00C9645F">
        <w:t>7</w:t>
      </w:r>
      <w:r w:rsidR="00A16F2D">
        <w:t xml:space="preserve"> </w:t>
      </w:r>
      <w:r w:rsidR="00A16F2D">
        <w:lastRenderedPageBreak/>
        <w:t>tỉnh</w:t>
      </w:r>
      <w:r>
        <w:t xml:space="preserve"> không phản ánh đầy đủ cả 5 mục lớn theo quy định </w:t>
      </w:r>
      <w:r w:rsidR="00C64915">
        <w:t>hoặc</w:t>
      </w:r>
      <w:r>
        <w:t xml:space="preserve"> không phản ánh biểu số 33 trong tài liệu. Đối với các tỉnh có phản ánh biểu 33 nhưng không đầy đủ chủ yếu chỉ phản ánh hai khoản mục chính là mục A - Tổng nguồn thu NSĐP và mục B - Tổng chi NSĐP, thiếu các khoản mục như mục C - Bội chi/Bội thu NSĐP, mục D – Chi trả nợ gốc của NSĐP và mục Đ – Tổng mức vay của NSĐP.</w:t>
      </w:r>
    </w:p>
    <w:p w14:paraId="46B7C53D" w14:textId="5E8CB3D9" w:rsidR="003604DF" w:rsidRDefault="003604DF" w:rsidP="003604DF">
      <w:pPr>
        <w:pStyle w:val="BodyText"/>
      </w:pPr>
      <w:r>
        <w:t xml:space="preserve">Đối với biểu số 35, chỉ có </w:t>
      </w:r>
      <w:r w:rsidR="001D0B42">
        <w:t>2</w:t>
      </w:r>
      <w:r w:rsidR="000B1A9C">
        <w:t>3</w:t>
      </w:r>
      <w:r w:rsidR="001D0B42">
        <w:t xml:space="preserve"> tỉnh</w:t>
      </w:r>
      <w:r>
        <w:t xml:space="preserve"> phản ánh đầy đủ các khoản thu cấu thành toàn bộ khoản thu nội địa (gồm 18 mục nhỏ) và chi tiết theo từng loại thuế. </w:t>
      </w:r>
      <w:r w:rsidR="001D0B42">
        <w:t>Có 1</w:t>
      </w:r>
      <w:r w:rsidR="000B1A9C">
        <w:t>5</w:t>
      </w:r>
      <w:r>
        <w:t xml:space="preserve"> tỉnh </w:t>
      </w:r>
      <w:r w:rsidR="001D0B42">
        <w:t xml:space="preserve">phản ánh </w:t>
      </w:r>
      <w:r>
        <w:t>đầy đủ các khoản thu (18 mục nhỏ) cụ thể cấu thành toàn bộ khoản thu nội địa nhưng không chi tiết theo sắc thuế</w:t>
      </w:r>
      <w:r w:rsidR="001D0B42">
        <w:t>.</w:t>
      </w:r>
      <w:r>
        <w:t xml:space="preserve"> </w:t>
      </w:r>
      <w:r w:rsidR="001D0B42">
        <w:t>Có 1</w:t>
      </w:r>
      <w:r w:rsidR="000B1A9C">
        <w:t>5</w:t>
      </w:r>
      <w:r>
        <w:t xml:space="preserve"> tỉnh phản ánh các nguồn thu trong thu nội địa nhưng ít hơn 18 mục thu theo quy định cấu thành dưới hai phần ba của toàn bộ khoản thu</w:t>
      </w:r>
      <w:r w:rsidR="001D0B42">
        <w:t>.</w:t>
      </w:r>
      <w:r>
        <w:t xml:space="preserve"> </w:t>
      </w:r>
      <w:r w:rsidR="001D0B42">
        <w:t>C</w:t>
      </w:r>
      <w:r>
        <w:t xml:space="preserve">hỉ có </w:t>
      </w:r>
      <w:r w:rsidR="000B1A9C">
        <w:t xml:space="preserve">1 </w:t>
      </w:r>
      <w:r>
        <w:t>tỉnh không phản ánh nguồn thu cụ thể nào trong nguồn thu nội địa.</w:t>
      </w:r>
    </w:p>
    <w:p w14:paraId="1316943F" w14:textId="4CB0D695" w:rsidR="003604DF" w:rsidRDefault="003604DF" w:rsidP="003604DF">
      <w:pPr>
        <w:pStyle w:val="BodyText"/>
      </w:pPr>
      <w:r>
        <w:t xml:space="preserve">Đối với biểu số 39, chỉ có </w:t>
      </w:r>
      <w:r w:rsidR="00872E09">
        <w:t>2</w:t>
      </w:r>
      <w:r w:rsidR="009C1E88">
        <w:t>7</w:t>
      </w:r>
      <w:r w:rsidR="00872E09">
        <w:t xml:space="preserve"> tỉnh</w:t>
      </w:r>
      <w:r>
        <w:t xml:space="preserve"> có phản ánh chi tiết toàn bộ nội dung các dự toán chi đầu tư cho các lĩnh vực theo quy định. </w:t>
      </w:r>
      <w:r w:rsidR="00872E09">
        <w:t>Có 2</w:t>
      </w:r>
      <w:r>
        <w:t xml:space="preserve"> tỉnh</w:t>
      </w:r>
      <w:r w:rsidR="00872E09">
        <w:t xml:space="preserve"> phản ánh</w:t>
      </w:r>
      <w:r>
        <w:t xml:space="preserve"> </w:t>
      </w:r>
      <w:r w:rsidR="00872E09">
        <w:rPr>
          <w:rFonts w:cs="Times New Roman"/>
          <w:color w:val="000000" w:themeColor="text1"/>
        </w:rPr>
        <w:t>ít nhất 2/3 các lĩnh vực chi đầu tư trong năm 2020 song không phải toàn bộ, 1 tỉnh chỉ phản ánh dưới 2/3 các lĩnh vực chi</w:t>
      </w:r>
      <w:r>
        <w:t xml:space="preserve"> và </w:t>
      </w:r>
      <w:r w:rsidR="00872E09">
        <w:t>24</w:t>
      </w:r>
      <w:r>
        <w:t xml:space="preserve"> tỉnh </w:t>
      </w:r>
      <w:r w:rsidR="00872E09">
        <w:rPr>
          <w:rFonts w:cs="Times New Roman"/>
          <w:color w:val="000000" w:themeColor="text1"/>
        </w:rPr>
        <w:t>không phản ánh cụ thể dự toán chi đầu tư cho bất kỳ lĩnh vực nào</w:t>
      </w:r>
      <w:r>
        <w:t>.</w:t>
      </w:r>
    </w:p>
    <w:p w14:paraId="6441FB9E" w14:textId="77777777" w:rsidR="003604DF" w:rsidRDefault="003604DF" w:rsidP="003604DF">
      <w:pPr>
        <w:pStyle w:val="Heading3"/>
        <w:numPr>
          <w:ilvl w:val="0"/>
          <w:numId w:val="15"/>
        </w:numPr>
      </w:pPr>
      <w:bookmarkStart w:id="27" w:name="Xc5f41eb63f1306b51f78a38735aca5b20840dad"/>
      <w:r>
        <w:t>Dự thảo Dự toán ngân sách tỉnh năm 2020 đã được HĐND tỉnh quyết định</w:t>
      </w:r>
      <w:bookmarkEnd w:id="27"/>
    </w:p>
    <w:p w14:paraId="525EC838" w14:textId="593080BD" w:rsidR="003604DF" w:rsidRDefault="003604DF" w:rsidP="003604DF">
      <w:pPr>
        <w:pStyle w:val="FirstParagraph"/>
      </w:pPr>
      <w:r>
        <w:t>Kết quả khảo sát POBI 201</w:t>
      </w:r>
      <w:r w:rsidR="00482738">
        <w:t>9</w:t>
      </w:r>
      <w:r>
        <w:t xml:space="preserve"> cho thấy, </w:t>
      </w:r>
      <w:bookmarkStart w:id="28" w:name="_Hlk44944878"/>
      <w:r>
        <w:t xml:space="preserve">Dự toán ngân sách được HĐND tỉnh quyết định </w:t>
      </w:r>
      <w:r w:rsidR="00482738">
        <w:t xml:space="preserve">vẫn tiếp tục </w:t>
      </w:r>
      <w:r>
        <w:t xml:space="preserve">là </w:t>
      </w:r>
      <w:r w:rsidR="00482738">
        <w:t xml:space="preserve">nhóm </w:t>
      </w:r>
      <w:r>
        <w:t xml:space="preserve">tài liệu được công khai nhiều trong số </w:t>
      </w:r>
      <w:r w:rsidR="00482738">
        <w:t>các</w:t>
      </w:r>
      <w:r>
        <w:t xml:space="preserve"> loại tài liệu ngân sách bắt buộc phải công khai</w:t>
      </w:r>
      <w:r w:rsidR="00E1746C">
        <w:t>, mặc dù chỉ c</w:t>
      </w:r>
      <w:r>
        <w:t xml:space="preserve">ó </w:t>
      </w:r>
      <w:r w:rsidR="006D32DF" w:rsidRPr="006D32DF">
        <w:t>58 (92.06 %)</w:t>
      </w:r>
      <w:r w:rsidR="006D32DF">
        <w:t xml:space="preserve"> </w:t>
      </w:r>
      <w:r>
        <w:t xml:space="preserve">tỉnh có công khai tài liệu này, </w:t>
      </w:r>
      <w:r w:rsidR="00E1746C">
        <w:t xml:space="preserve">ít hơn </w:t>
      </w:r>
      <w:r w:rsidR="00887181">
        <w:t>1</w:t>
      </w:r>
      <w:r w:rsidR="00E1746C">
        <w:t xml:space="preserve"> tỉnh so với kết quả trong POBI 2018</w:t>
      </w:r>
      <w:r>
        <w:t xml:space="preserve">. Số tỉnh công bố đúng hạn </w:t>
      </w:r>
      <w:r w:rsidR="00717695">
        <w:t>là 3</w:t>
      </w:r>
      <w:r w:rsidR="00D46CBE">
        <w:t>5</w:t>
      </w:r>
      <w:r w:rsidR="001F24E5">
        <w:t xml:space="preserve"> </w:t>
      </w:r>
      <w:r w:rsidR="00717695">
        <w:t>tỉnh</w:t>
      </w:r>
      <w:r w:rsidR="007E5C4E">
        <w:t xml:space="preserve"> (</w:t>
      </w:r>
      <w:r w:rsidR="004E142E">
        <w:t>55</w:t>
      </w:r>
      <w:r w:rsidR="007E5C4E">
        <w:t>.</w:t>
      </w:r>
      <w:r w:rsidR="004E142E">
        <w:t>56</w:t>
      </w:r>
      <w:r w:rsidR="007E5C4E">
        <w:t>%)</w:t>
      </w:r>
      <w:r w:rsidR="00717695">
        <w:t xml:space="preserve">, ít hơn </w:t>
      </w:r>
      <w:r w:rsidR="00B270EE">
        <w:t xml:space="preserve">so với POBI 2018 là </w:t>
      </w:r>
      <w:r>
        <w:t xml:space="preserve">39 tỉnh (61.9%), số tỉnh công bố đầy đủ 13 bảng biểu của dự thảo dự toán trình HĐND tỉnh tăng từ 10 tỉnh (15.9%) lên </w:t>
      </w:r>
      <w:r w:rsidR="0087027E" w:rsidRPr="0087027E">
        <w:t>18</w:t>
      </w:r>
      <w:r w:rsidR="0087027E">
        <w:t xml:space="preserve"> tỉnh</w:t>
      </w:r>
      <w:r w:rsidR="0087027E" w:rsidRPr="0087027E">
        <w:t xml:space="preserve"> (28.57 %)</w:t>
      </w:r>
      <w:r>
        <w:t>.</w:t>
      </w:r>
      <w:bookmarkEnd w:id="28"/>
    </w:p>
    <w:p w14:paraId="1933F4CC" w14:textId="3BAED08B" w:rsidR="003604DF" w:rsidRDefault="003604DF" w:rsidP="00315AFC">
      <w:pPr>
        <w:pStyle w:val="BodyText"/>
      </w:pPr>
      <w:r>
        <w:t>Tổng điểm quy đổi cho tài liệu Dự toán ngân sách tỉnh năm 20</w:t>
      </w:r>
      <w:r w:rsidR="00144F3C">
        <w:t>20</w:t>
      </w:r>
      <w:r>
        <w:t xml:space="preserve"> đã được phê duyệt là </w:t>
      </w:r>
      <w:r w:rsidR="00A51B6A">
        <w:t>16.95</w:t>
      </w:r>
      <w:r>
        <w:t xml:space="preserve"> điểm. Kết quả chấm POBI năm 201</w:t>
      </w:r>
      <w:r w:rsidR="00A51B6A">
        <w:t>9</w:t>
      </w:r>
      <w:r>
        <w:t xml:space="preserve"> cho thấy có </w:t>
      </w:r>
      <w:r w:rsidR="00A51B6A">
        <w:t>2</w:t>
      </w:r>
      <w:r>
        <w:t xml:space="preserve"> tỉnh thực hiện việc công khai rất tốt tài liệu này là </w:t>
      </w:r>
      <w:r w:rsidR="00A51B6A">
        <w:t>Trà Vinh và Bà Rịa – Vũng Tàu</w:t>
      </w:r>
      <w:r>
        <w:t xml:space="preserve">, đều đạt điểm số tối đa cho phần này là </w:t>
      </w:r>
      <w:r w:rsidR="00D94758">
        <w:t>16.95</w:t>
      </w:r>
      <w:r>
        <w:t xml:space="preserve"> điểm</w:t>
      </w:r>
      <w:r w:rsidR="00D94758">
        <w:t xml:space="preserve"> quy đổi</w:t>
      </w:r>
      <w:r>
        <w:t xml:space="preserve">. Một số tỉnh có công khai nhưng đạt điểm rất thấp như tỉnh </w:t>
      </w:r>
      <w:r w:rsidR="00E52542">
        <w:t>Hà Tĩnh</w:t>
      </w:r>
      <w:r>
        <w:t xml:space="preserve"> (</w:t>
      </w:r>
      <w:r w:rsidR="00E52542">
        <w:t>1.97</w:t>
      </w:r>
      <w:r>
        <w:t xml:space="preserve"> điểm), tỉnh </w:t>
      </w:r>
      <w:r w:rsidR="00E52542">
        <w:t>Cà Mau</w:t>
      </w:r>
      <w:r>
        <w:t xml:space="preserve"> (</w:t>
      </w:r>
      <w:r w:rsidR="00E52542">
        <w:t>4.22</w:t>
      </w:r>
      <w:r>
        <w:t xml:space="preserve"> điểm). Các tỉnh này chỉ có tài liệu Nghị quyết phê duyệt và không kèm theo phụ lục bảng biểu. Có </w:t>
      </w:r>
      <w:r w:rsidR="004E6C50">
        <w:t>5</w:t>
      </w:r>
      <w:r w:rsidR="00315AFC">
        <w:t xml:space="preserve"> </w:t>
      </w:r>
      <w:r>
        <w:t xml:space="preserve">tỉnh không công khai tài liệu Dự toán ngân sách tỉnh năm 2019 đã được HĐND tỉnh phê duyệt bao gồm: </w:t>
      </w:r>
      <w:r w:rsidR="00315AFC">
        <w:t>Hòa Bình, Lạng Sơn, Quảng Bình, Kiên Giang, và Bạc Liêu</w:t>
      </w:r>
      <w:r>
        <w:t>.</w:t>
      </w:r>
    </w:p>
    <w:p w14:paraId="1D533203" w14:textId="2C37F1C6" w:rsidR="003A5F2F" w:rsidRDefault="003A5F2F" w:rsidP="00100FB8">
      <w:pPr>
        <w:pStyle w:val="Caption"/>
        <w:keepNext/>
      </w:pPr>
      <w:r>
        <w:lastRenderedPageBreak/>
        <w:t xml:space="preserve">Hình </w:t>
      </w:r>
      <w:r w:rsidR="002E3AAA">
        <w:fldChar w:fldCharType="begin"/>
      </w:r>
      <w:r w:rsidR="002E3AAA">
        <w:instrText xml:space="preserve"> SEQ Hình \* ARABIC </w:instrText>
      </w:r>
      <w:r w:rsidR="002E3AAA">
        <w:fldChar w:fldCharType="separate"/>
      </w:r>
      <w:r w:rsidR="0067281F">
        <w:rPr>
          <w:noProof/>
        </w:rPr>
        <w:t>8</w:t>
      </w:r>
      <w:r w:rsidR="002E3AAA">
        <w:rPr>
          <w:noProof/>
        </w:rPr>
        <w:fldChar w:fldCharType="end"/>
      </w:r>
      <w:r>
        <w:t>:</w:t>
      </w:r>
      <w:r w:rsidRPr="003A5F2F">
        <w:rPr>
          <w:b w:val="0"/>
          <w:iCs w:val="0"/>
          <w:color w:val="auto"/>
          <w:szCs w:val="28"/>
          <w:lang w:val="vi-VN"/>
        </w:rPr>
        <w:t xml:space="preserve"> </w:t>
      </w:r>
      <w:r w:rsidRPr="003A5F2F">
        <w:rPr>
          <w:lang w:val="vi-VN"/>
        </w:rPr>
        <w:t>Xếp hạng các tỉnh có công khai dự toán ngân sách tỉnh năm 2020 đã được HĐN</w:t>
      </w:r>
      <w:r w:rsidR="00220513">
        <w:t>D</w:t>
      </w:r>
      <w:r w:rsidRPr="003A5F2F">
        <w:rPr>
          <w:lang w:val="vi-VN"/>
        </w:rPr>
        <w:t xml:space="preserve"> phê duyệt theo điểm POBI 2019</w:t>
      </w:r>
    </w:p>
    <w:p w14:paraId="3D47A875" w14:textId="7A18FBB7" w:rsidR="003A5F2F" w:rsidRDefault="00A51879" w:rsidP="00100FB8">
      <w:pPr>
        <w:pStyle w:val="BodyText"/>
        <w:jc w:val="center"/>
      </w:pPr>
      <w:r w:rsidRPr="00A51879">
        <w:rPr>
          <w:noProof/>
        </w:rPr>
        <w:t xml:space="preserve"> </w:t>
      </w:r>
      <w:r>
        <w:rPr>
          <w:noProof/>
        </w:rPr>
        <w:drawing>
          <wp:inline distT="0" distB="0" distL="0" distR="0" wp14:anchorId="3FCCE28D" wp14:editId="3E967864">
            <wp:extent cx="4972050" cy="7562850"/>
            <wp:effectExtent l="0" t="0" r="0" b="0"/>
            <wp:docPr id="36" name="Chart 36">
              <a:extLst xmlns:a="http://schemas.openxmlformats.org/drawingml/2006/main">
                <a:ext uri="{FF2B5EF4-FFF2-40B4-BE49-F238E27FC236}">
                  <a16:creationId xmlns:a16="http://schemas.microsoft.com/office/drawing/2014/main" id="{00000000-0008-0000-02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942F186" w14:textId="7AAEBC06" w:rsidR="003604DF" w:rsidRDefault="003604DF" w:rsidP="003604DF">
      <w:pPr>
        <w:pStyle w:val="BodyText"/>
      </w:pPr>
      <w:r>
        <w:t>Dự toán ngân sách tỉnh năm 20</w:t>
      </w:r>
      <w:r w:rsidR="00B457BC">
        <w:t>20</w:t>
      </w:r>
      <w:r>
        <w:t xml:space="preserve"> đã được HDND phê duyệt là loại tài liệu mà có tỉ lệ các tỉnh công khai đúng thời hạn quy định</w:t>
      </w:r>
      <w:r w:rsidR="00377FB2">
        <w:t xml:space="preserve"> tương đối cao (3</w:t>
      </w:r>
      <w:r w:rsidR="004469BB">
        <w:t>5</w:t>
      </w:r>
      <w:r w:rsidR="00377FB2">
        <w:t xml:space="preserve"> tỉnh), tuy nhiên con số này </w:t>
      </w:r>
      <w:r w:rsidR="00377FB2">
        <w:lastRenderedPageBreak/>
        <w:t>là thấp hơn so với POBI 2018 là</w:t>
      </w:r>
      <w:r>
        <w:t xml:space="preserve"> 39/63 tỉnh. Có 1</w:t>
      </w:r>
      <w:r w:rsidR="00377FB2">
        <w:t>4</w:t>
      </w:r>
      <w:r>
        <w:t xml:space="preserve"> tỉnh </w:t>
      </w:r>
      <w:r w:rsidR="00377FB2">
        <w:t>công khai chậm – tức là</w:t>
      </w:r>
      <w:r>
        <w:t xml:space="preserve"> </w:t>
      </w:r>
      <w:r w:rsidR="00377FB2">
        <w:t xml:space="preserve">trong khoảng </w:t>
      </w:r>
      <w:r>
        <w:t>từ ngày thứ 31 đến ngày thứ 60</w:t>
      </w:r>
      <w:r w:rsidR="00377FB2">
        <w:t xml:space="preserve"> kể từ khi. Có </w:t>
      </w:r>
      <w:r w:rsidR="00D351C8">
        <w:t>9</w:t>
      </w:r>
      <w:r w:rsidR="00377FB2">
        <w:t xml:space="preserve"> tỉnh</w:t>
      </w:r>
      <w:r>
        <w:t xml:space="preserve"> không xác định được chính xác thời điểm công khai </w:t>
      </w:r>
      <w:r w:rsidR="00377FB2">
        <w:t>hoặc công khai quá muộn</w:t>
      </w:r>
      <w:r>
        <w:t>.</w:t>
      </w:r>
    </w:p>
    <w:p w14:paraId="4B250612" w14:textId="35C42F66" w:rsidR="001552F5" w:rsidRDefault="001552F5" w:rsidP="00100FB8">
      <w:pPr>
        <w:pStyle w:val="Caption"/>
        <w:keepNext/>
      </w:pPr>
      <w:r>
        <w:t xml:space="preserve">Hình </w:t>
      </w:r>
      <w:r w:rsidR="002E3AAA">
        <w:fldChar w:fldCharType="begin"/>
      </w:r>
      <w:r w:rsidR="002E3AAA">
        <w:instrText xml:space="preserve"> SEQ Hình \* ARABIC </w:instrText>
      </w:r>
      <w:r w:rsidR="002E3AAA">
        <w:fldChar w:fldCharType="separate"/>
      </w:r>
      <w:r w:rsidR="0067281F">
        <w:rPr>
          <w:noProof/>
        </w:rPr>
        <w:t>9</w:t>
      </w:r>
      <w:r w:rsidR="002E3AAA">
        <w:rPr>
          <w:noProof/>
        </w:rPr>
        <w:fldChar w:fldCharType="end"/>
      </w:r>
      <w:r>
        <w:t xml:space="preserve">: </w:t>
      </w:r>
      <w:r w:rsidRPr="001552F5">
        <w:rPr>
          <w:lang w:val="vi-VN"/>
        </w:rPr>
        <w:t>Số tỉnh công bố tài liệu dự toán ngân sách tỉnh năm 2020 đã được HĐND tỉnh phê duyệt phân theo thời gian công bố tài liệu</w:t>
      </w:r>
    </w:p>
    <w:p w14:paraId="761A6662" w14:textId="6639614E" w:rsidR="001552F5" w:rsidRDefault="000619D3" w:rsidP="00100FB8">
      <w:pPr>
        <w:pStyle w:val="BodyText"/>
        <w:jc w:val="center"/>
      </w:pPr>
      <w:r w:rsidRPr="000619D3">
        <w:rPr>
          <w:noProof/>
        </w:rPr>
        <w:t xml:space="preserve"> </w:t>
      </w:r>
      <w:r>
        <w:rPr>
          <w:noProof/>
        </w:rPr>
        <w:drawing>
          <wp:inline distT="0" distB="0" distL="0" distR="0" wp14:anchorId="5FD2A709" wp14:editId="32A696F5">
            <wp:extent cx="4438650" cy="2508250"/>
            <wp:effectExtent l="0" t="0" r="0" b="6350"/>
            <wp:docPr id="37" name="Chart 37">
              <a:extLst xmlns:a="http://schemas.openxmlformats.org/drawingml/2006/main">
                <a:ext uri="{FF2B5EF4-FFF2-40B4-BE49-F238E27FC236}">
                  <a16:creationId xmlns:a16="http://schemas.microsoft.com/office/drawing/2014/main" id="{00000000-0008-0000-02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838A375" w14:textId="691C3505" w:rsidR="003604DF" w:rsidRDefault="003604DF" w:rsidP="003604DF">
      <w:pPr>
        <w:pStyle w:val="BodyText"/>
      </w:pPr>
      <w:r>
        <w:t>Trong số 5</w:t>
      </w:r>
      <w:r w:rsidR="00734C10">
        <w:t>7</w:t>
      </w:r>
      <w:r>
        <w:t xml:space="preserve"> tỉnh có công khai Dự toán ngân sách tỉnh năm 20</w:t>
      </w:r>
      <w:r w:rsidR="000F55E2">
        <w:t>20</w:t>
      </w:r>
      <w:r>
        <w:t xml:space="preserve"> đã được phê duyệt, </w:t>
      </w:r>
      <w:r w:rsidR="00236D55">
        <w:t>C</w:t>
      </w:r>
      <w:r>
        <w:t xml:space="preserve">ó </w:t>
      </w:r>
      <w:r w:rsidR="00236D55">
        <w:t>2</w:t>
      </w:r>
      <w:r w:rsidR="00170A4D">
        <w:t>7</w:t>
      </w:r>
      <w:r>
        <w:t xml:space="preserve"> tỉnh phản ánh đầy đủ cả 13 biểu theo quy định của thông tư 343, chiếm tỉ lệ </w:t>
      </w:r>
      <w:r w:rsidR="00543AF8">
        <w:t xml:space="preserve">42.86% </w:t>
      </w:r>
      <w:r>
        <w:t>trong tổng số 63 tỉnh thành</w:t>
      </w:r>
      <w:r w:rsidR="001A4E12">
        <w:t>. Có</w:t>
      </w:r>
      <w:r>
        <w:t xml:space="preserve"> </w:t>
      </w:r>
      <w:r w:rsidR="003414F8">
        <w:t>27</w:t>
      </w:r>
      <w:r>
        <w:t xml:space="preserve"> tỉnh (tương đương </w:t>
      </w:r>
      <w:r w:rsidR="003414F8">
        <w:t>4</w:t>
      </w:r>
      <w:r>
        <w:t>2.</w:t>
      </w:r>
      <w:r w:rsidR="003414F8">
        <w:t>86</w:t>
      </w:r>
      <w:r>
        <w:t>% trong tổng số 63 tỉnh thành) phản ánh từ 7 đến 12 biểu</w:t>
      </w:r>
      <w:r w:rsidR="001A4E12">
        <w:t>. Chỉ có</w:t>
      </w:r>
      <w:r>
        <w:t xml:space="preserve"> </w:t>
      </w:r>
      <w:r w:rsidR="003E68DD">
        <w:t>4</w:t>
      </w:r>
      <w:r>
        <w:t xml:space="preserve"> tỉnh (tương đương </w:t>
      </w:r>
      <w:r w:rsidR="001A4E12">
        <w:t>7</w:t>
      </w:r>
      <w:r>
        <w:t>.9</w:t>
      </w:r>
      <w:r w:rsidR="001A4E12">
        <w:t>4</w:t>
      </w:r>
      <w:r>
        <w:t xml:space="preserve">% trong tổng số 63 tỉnh thành) phản ánh dưới 7 biểu </w:t>
      </w:r>
      <w:r w:rsidR="004D11DC">
        <w:t>hoặc không công khai</w:t>
      </w:r>
      <w:r>
        <w:t xml:space="preserve"> bảng biểu</w:t>
      </w:r>
      <w:r w:rsidR="004D11DC">
        <w:t xml:space="preserve"> cùng với Dự toán ngân sách tỉnh năm 2020 đã được phê duyệt</w:t>
      </w:r>
      <w:r>
        <w:t>.</w:t>
      </w:r>
    </w:p>
    <w:p w14:paraId="41AC2655" w14:textId="1D436B53" w:rsidR="00832F1D" w:rsidRDefault="00832F1D" w:rsidP="00100FB8">
      <w:pPr>
        <w:pStyle w:val="Caption"/>
        <w:keepNext/>
      </w:pPr>
      <w:r>
        <w:t xml:space="preserve">Hình </w:t>
      </w:r>
      <w:r w:rsidR="002E3AAA">
        <w:fldChar w:fldCharType="begin"/>
      </w:r>
      <w:r w:rsidR="002E3AAA">
        <w:instrText xml:space="preserve"> SEQ Hình \* ARABIC </w:instrText>
      </w:r>
      <w:r w:rsidR="002E3AAA">
        <w:fldChar w:fldCharType="separate"/>
      </w:r>
      <w:r w:rsidR="0067281F">
        <w:rPr>
          <w:noProof/>
        </w:rPr>
        <w:t>10</w:t>
      </w:r>
      <w:r w:rsidR="002E3AAA">
        <w:rPr>
          <w:noProof/>
        </w:rPr>
        <w:fldChar w:fldCharType="end"/>
      </w:r>
      <w:r>
        <w:t xml:space="preserve">: </w:t>
      </w:r>
      <w:r w:rsidRPr="00053D9B">
        <w:t xml:space="preserve">Số tỉnh công bố tài liệu dự toán ngân sách tỉnh năm 2020 đã được HĐND tỉnh </w:t>
      </w:r>
      <w:r w:rsidR="00070CDC">
        <w:t>quyết định</w:t>
      </w:r>
      <w:r w:rsidRPr="00053D9B">
        <w:t xml:space="preserve"> phân theo mức độ đầy đủ số lượng các bảng biểu</w:t>
      </w:r>
    </w:p>
    <w:p w14:paraId="6FED708B" w14:textId="7AEC0927" w:rsidR="00832F1D" w:rsidRDefault="004147BC" w:rsidP="00257275">
      <w:pPr>
        <w:pStyle w:val="BodyText"/>
        <w:jc w:val="center"/>
      </w:pPr>
      <w:r w:rsidRPr="004147BC">
        <w:rPr>
          <w:noProof/>
        </w:rPr>
        <w:t xml:space="preserve"> </w:t>
      </w:r>
      <w:r>
        <w:rPr>
          <w:noProof/>
        </w:rPr>
        <w:drawing>
          <wp:inline distT="0" distB="0" distL="0" distR="0" wp14:anchorId="08C35455" wp14:editId="1172CE5A">
            <wp:extent cx="3854450" cy="2254250"/>
            <wp:effectExtent l="0" t="0" r="12700" b="12700"/>
            <wp:docPr id="38" name="Chart 38">
              <a:extLst xmlns:a="http://schemas.openxmlformats.org/drawingml/2006/main">
                <a:ext uri="{FF2B5EF4-FFF2-40B4-BE49-F238E27FC236}">
                  <a16:creationId xmlns:a16="http://schemas.microsoft.com/office/drawing/2014/main" id="{00000000-0008-0000-02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FE38A0F" w14:textId="7014D594" w:rsidR="003604DF" w:rsidRDefault="003604DF" w:rsidP="003604DF">
      <w:pPr>
        <w:pStyle w:val="BodyText"/>
      </w:pPr>
      <w:r>
        <w:t>Tài liệu Dự toán ngân sách tỉnh theo quy định của Thông tư 343 gồm 13 biểu mẫu kèm theo (từ biểu số 46 đến biểu số 58). Trong khảo sát POBI 201</w:t>
      </w:r>
      <w:r w:rsidR="0015033D">
        <w:t>9</w:t>
      </w:r>
      <w:r>
        <w:t xml:space="preserve">, nhóm nghiên cứu tiến </w:t>
      </w:r>
      <w:r>
        <w:lastRenderedPageBreak/>
        <w:t>hành việc chấm điểm đầy đủ trong việc công khai nội dung các bảng biểu số 46 – biểu về Cân đối ngân sách địa phương, biểu số 48 – biểu về Dự toán thu NSNN và biểu số 52 – biểu về Dự toán chi đầu tư phát triển của ngân sách cấp tỉnh cho từng cơ quan, tổ chức theo lĩnh vực.</w:t>
      </w:r>
    </w:p>
    <w:p w14:paraId="67343105" w14:textId="4E239B42" w:rsidR="003604DF" w:rsidRDefault="003604DF" w:rsidP="003604DF">
      <w:pPr>
        <w:pStyle w:val="BodyText"/>
      </w:pPr>
      <w:r>
        <w:t xml:space="preserve">Đối với biểu số 46 – Biểu cân đối ngân sách địa phương, có </w:t>
      </w:r>
      <w:r w:rsidR="008E0C69">
        <w:t>4</w:t>
      </w:r>
      <w:r w:rsidR="00E71F4C">
        <w:t>2</w:t>
      </w:r>
      <w:r>
        <w:t xml:space="preserve"> trong tổng số 63 tỉnh là phản ánh đầy đủ cả 5 mục lớn và chi tiết các mục nhỏ theo quy định, </w:t>
      </w:r>
      <w:r w:rsidR="008E0C69">
        <w:t>10</w:t>
      </w:r>
      <w:r>
        <w:t xml:space="preserve"> tỉnh có phản ánh đầy đủ cả 5 mục lớn nhưng không chi tiết các mục nhỏ theo quy định, </w:t>
      </w:r>
      <w:r w:rsidR="008E0C69">
        <w:t>6</w:t>
      </w:r>
      <w:r>
        <w:t xml:space="preserve"> tỉnh không phản ánh đầy đủ cả 5 mục lớn theo quy định </w:t>
      </w:r>
      <w:r w:rsidR="008E0C69">
        <w:t>hoặc</w:t>
      </w:r>
      <w:r>
        <w:t xml:space="preserve"> không phản ánh biểu số 46 trong tài liệu. Đối với các tỉnh có phản ánh biểu 46 nhưng không đầy đủ chủ yếu chỉ phản ánh hai khoản mục chính là mục A - Tổng nguồn thu NSĐP và mục B - Tổng chi NSĐP, thiếu các khoản mục như mục C - Bội chi/Bội thu NSĐP, mục D – Chi trả nợ gốc của NSĐP và mục Đ – Tổng mức vay của NSĐP.</w:t>
      </w:r>
    </w:p>
    <w:p w14:paraId="58498945" w14:textId="290D8707" w:rsidR="003604DF" w:rsidRDefault="003604DF" w:rsidP="003604DF">
      <w:pPr>
        <w:pStyle w:val="BodyText"/>
      </w:pPr>
      <w:r>
        <w:t xml:space="preserve">Đối với biểu số 48 – Biểu Dự toán thu NSNN, </w:t>
      </w:r>
      <w:r w:rsidR="00F21865">
        <w:t>có 2</w:t>
      </w:r>
      <w:r w:rsidR="001307B7">
        <w:t>4</w:t>
      </w:r>
      <w:r w:rsidR="00F21865">
        <w:t xml:space="preserve"> tỉnh</w:t>
      </w:r>
      <w:r>
        <w:t xml:space="preserve"> phản ánh đầy đủ các nguồn thu cụ thể cấu thành toàn bộ khoản thu nội địa bao gồm 18 mục nhỏ và chi tiết theo từng loại thuế. </w:t>
      </w:r>
      <w:r w:rsidR="00F21865">
        <w:t xml:space="preserve">Có </w:t>
      </w:r>
      <w:r w:rsidR="001307B7">
        <w:t>21</w:t>
      </w:r>
      <w:r w:rsidR="00F21865">
        <w:t xml:space="preserve"> tỉnh </w:t>
      </w:r>
      <w:r>
        <w:t xml:space="preserve">phản ánh phản ánh đầy đủ các khoản thu (18 mục nhỏ) cụ thể cấu thành toàn bộ khoản thu nội địa và không chi tiết theo loại thuế. </w:t>
      </w:r>
      <w:r w:rsidR="007F43EF">
        <w:t xml:space="preserve">Có </w:t>
      </w:r>
      <w:r w:rsidR="001307B7">
        <w:t>13</w:t>
      </w:r>
      <w:r w:rsidR="007F43EF">
        <w:t xml:space="preserve"> tỉnh</w:t>
      </w:r>
      <w:r>
        <w:t xml:space="preserve"> phản ánh các nguồn thu trong thu nội địa nhưng ít hơn 18 mục thu theo quy định cấu thành dưới hai phần ba của toàn bộ khoản thu. </w:t>
      </w:r>
      <w:r w:rsidR="001E14D2">
        <w:t>Không có</w:t>
      </w:r>
      <w:r w:rsidR="007F43EF">
        <w:t xml:space="preserve"> tỉnh</w:t>
      </w:r>
      <w:r w:rsidR="001E14D2">
        <w:t xml:space="preserve"> nào</w:t>
      </w:r>
      <w:r w:rsidR="007F43EF">
        <w:t xml:space="preserve"> không phản ánh các nguồn thu cụ thể nào trong thu nội địa</w:t>
      </w:r>
      <w:r>
        <w:t>.</w:t>
      </w:r>
    </w:p>
    <w:p w14:paraId="182410F5" w14:textId="19444475" w:rsidR="003604DF" w:rsidRDefault="003604DF" w:rsidP="003604DF">
      <w:pPr>
        <w:pStyle w:val="BodyText"/>
      </w:pPr>
      <w:r>
        <w:t xml:space="preserve">Đối với biểu số 52 – Biểu Dự toán chi đầu tư phát triển của ngân sách cấp tỉnh cho từng cơ quan tổ chức theo lĩnh vực, </w:t>
      </w:r>
      <w:r w:rsidR="005704E6">
        <w:t>34 tỉnh</w:t>
      </w:r>
      <w:r>
        <w:t xml:space="preserve"> phản ánh dự toán cụ thể cho 12 lĩnh vực chi đầu tư. </w:t>
      </w:r>
      <w:r w:rsidR="005704E6">
        <w:t xml:space="preserve">Có </w:t>
      </w:r>
      <w:r w:rsidR="007671F3">
        <w:t>5</w:t>
      </w:r>
      <w:r w:rsidR="005704E6">
        <w:t xml:space="preserve"> tỉnh </w:t>
      </w:r>
      <w:r>
        <w:t xml:space="preserve">phản ánh cụ thể dự toán cho 9 đến 11 lĩnh vực chi đầu tư. </w:t>
      </w:r>
      <w:r w:rsidR="005704E6">
        <w:t xml:space="preserve">Không có tỉnh nào </w:t>
      </w:r>
      <w:r>
        <w:t xml:space="preserve">phản ánh cụ thể dự toán chi đầu tư cho 5 đến 8 lĩnh vực chi đầu tư. </w:t>
      </w:r>
      <w:r w:rsidR="005704E6">
        <w:t>19</w:t>
      </w:r>
      <w:r>
        <w:t xml:space="preserve"> tỉnh còn lại </w:t>
      </w:r>
      <w:r w:rsidR="005704E6">
        <w:t xml:space="preserve">chỉ phản ánh cụ thể dự toán chi đầu tư cho 0 đến 4 lĩnh vực chi đầu tư hoặc </w:t>
      </w:r>
      <w:r>
        <w:t>không công khai loại tài liệu này.</w:t>
      </w:r>
    </w:p>
    <w:p w14:paraId="3AAB4844" w14:textId="77777777" w:rsidR="003604DF" w:rsidRDefault="003604DF" w:rsidP="003604DF">
      <w:pPr>
        <w:pStyle w:val="Heading3"/>
        <w:numPr>
          <w:ilvl w:val="0"/>
          <w:numId w:val="15"/>
        </w:numPr>
      </w:pPr>
      <w:bookmarkStart w:id="29" w:name="Xf9ad29acff7858331913de10c5c55ecc7594beb"/>
      <w:r>
        <w:t>Báo cáo Tình hình thực hiện ngân sách tỉnh Quý 1/2019</w:t>
      </w:r>
      <w:bookmarkEnd w:id="29"/>
    </w:p>
    <w:p w14:paraId="58003A8F" w14:textId="7D6B2228" w:rsidR="003604DF" w:rsidRDefault="003604DF" w:rsidP="003604DF">
      <w:pPr>
        <w:pStyle w:val="FirstParagraph"/>
      </w:pPr>
      <w:r>
        <w:t>Báo cáo Tình hình thực hiên ngân sách tỉnh Quý 1 năm 201</w:t>
      </w:r>
      <w:r w:rsidR="00F019D7">
        <w:t>9</w:t>
      </w:r>
      <w:r>
        <w:t xml:space="preserve"> là một trong những tài liệu bắt buộc phải công bố công khai có tỉ lệ số tỉnh công bố ở mức cao, cụ thể hơn </w:t>
      </w:r>
      <w:r w:rsidR="000251DB">
        <w:t>58</w:t>
      </w:r>
      <w:r>
        <w:t xml:space="preserve">/63 tỉnh (tương đương </w:t>
      </w:r>
      <w:r w:rsidR="000251DB">
        <w:t>92.06</w:t>
      </w:r>
      <w:r>
        <w:t>%) có công khai loại tài liệu này.</w:t>
      </w:r>
      <w:r w:rsidR="00453CBC">
        <w:t xml:space="preserve"> Kết quả này là cao hơn nhiều so với năm POBI 2018 khi mà chỉ có 46 tỉnh công khai loại tài liệu </w:t>
      </w:r>
      <w:r w:rsidR="00070CDC">
        <w:t>này.</w:t>
      </w:r>
    </w:p>
    <w:p w14:paraId="1BD36255" w14:textId="120A4A47" w:rsidR="003604DF" w:rsidRDefault="003604DF" w:rsidP="00594E87">
      <w:pPr>
        <w:pStyle w:val="BodyText"/>
      </w:pPr>
      <w:r>
        <w:t xml:space="preserve">Tổng điểm quy đổi cho tài liệu báo cáo Tình hình thực hiện ngân sách tỉnh Quý 1 năm 2018 là </w:t>
      </w:r>
      <w:r w:rsidR="0025443B">
        <w:t>6.78</w:t>
      </w:r>
      <w:r>
        <w:t xml:space="preserve"> điểm. Kết quả chấm POBI 201</w:t>
      </w:r>
      <w:r w:rsidR="00070CDC">
        <w:t>9</w:t>
      </w:r>
      <w:r>
        <w:t xml:space="preserve"> cho thấy có 1</w:t>
      </w:r>
      <w:r w:rsidR="00594E87">
        <w:t>3</w:t>
      </w:r>
      <w:r>
        <w:t xml:space="preserve"> tỉnh đạt điểm tối đa bao gồm: </w:t>
      </w:r>
      <w:r w:rsidR="00594E87">
        <w:t xml:space="preserve">Hà Nam, Bắc Giang, Hải Dương, Yên Bái, Vĩnh Long, Quảng Trị, Bình Định, </w:t>
      </w:r>
      <w:r w:rsidR="00594E87">
        <w:lastRenderedPageBreak/>
        <w:t>Quảng Nam, Đà Nẵng, Phú Thọ, Thái Bình, Lâm Đồng, và Đắk Lắk</w:t>
      </w:r>
      <w:r>
        <w:t>. Các tỉnh không có tên trong danh sách xếp hạng là những tỉnh không thực hiện việc công khai loại tài liệu này</w:t>
      </w:r>
      <w:r w:rsidR="00594E87">
        <w:t>, cụ thể là 5 tỉnh: Phú Yên, Đồng Tháp, Hà Tĩnh, Hòa Bình, và Kiên Giang.</w:t>
      </w:r>
    </w:p>
    <w:p w14:paraId="52556179" w14:textId="337CE6A5" w:rsidR="00762877" w:rsidRDefault="00762877" w:rsidP="00100FB8">
      <w:pPr>
        <w:pStyle w:val="Caption"/>
        <w:keepNext/>
      </w:pPr>
      <w:r>
        <w:lastRenderedPageBreak/>
        <w:t xml:space="preserve">Hình </w:t>
      </w:r>
      <w:r w:rsidR="002E3AAA">
        <w:fldChar w:fldCharType="begin"/>
      </w:r>
      <w:r w:rsidR="002E3AAA">
        <w:instrText xml:space="preserve"> SEQ Hình \* ARABIC </w:instrText>
      </w:r>
      <w:r w:rsidR="002E3AAA">
        <w:fldChar w:fldCharType="separate"/>
      </w:r>
      <w:r w:rsidR="0067281F">
        <w:rPr>
          <w:noProof/>
        </w:rPr>
        <w:t>11</w:t>
      </w:r>
      <w:r w:rsidR="002E3AAA">
        <w:rPr>
          <w:noProof/>
        </w:rPr>
        <w:fldChar w:fldCharType="end"/>
      </w:r>
      <w:r>
        <w:t xml:space="preserve">: </w:t>
      </w:r>
      <w:r w:rsidRPr="00762877">
        <w:t>Xếp hạng các tỉnh có công bố tài liệu báo cáo Tình hình thực hiện ngân sách tỉnh quý 1/2019 theo điểm POBI 2019</w:t>
      </w:r>
    </w:p>
    <w:p w14:paraId="03993216" w14:textId="55FFB0A1" w:rsidR="00762877" w:rsidRDefault="00901773" w:rsidP="00100FB8">
      <w:pPr>
        <w:pStyle w:val="BodyText"/>
        <w:jc w:val="center"/>
      </w:pPr>
      <w:r w:rsidRPr="00901773">
        <w:rPr>
          <w:noProof/>
        </w:rPr>
        <w:t xml:space="preserve"> </w:t>
      </w:r>
      <w:r>
        <w:rPr>
          <w:noProof/>
        </w:rPr>
        <w:drawing>
          <wp:inline distT="0" distB="0" distL="0" distR="0" wp14:anchorId="23B9B25C" wp14:editId="01394C1A">
            <wp:extent cx="4584700" cy="8051800"/>
            <wp:effectExtent l="0" t="0" r="6350" b="6350"/>
            <wp:docPr id="39" name="Chart 39">
              <a:extLst xmlns:a="http://schemas.openxmlformats.org/drawingml/2006/main">
                <a:ext uri="{FF2B5EF4-FFF2-40B4-BE49-F238E27FC236}">
                  <a16:creationId xmlns:a16="http://schemas.microsoft.com/office/drawing/2014/main" id="{00000000-0008-0000-02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7701D50" w14:textId="36CAA449" w:rsidR="003604DF" w:rsidRDefault="003604DF" w:rsidP="003604DF">
      <w:pPr>
        <w:pStyle w:val="BodyText"/>
      </w:pPr>
      <w:r>
        <w:lastRenderedPageBreak/>
        <w:t xml:space="preserve">Số lượng các tỉnh công bố đúng thời hạn quy định của Thông tư 343 cũng khá thấp. Chỉ có </w:t>
      </w:r>
      <w:r w:rsidR="00584AE4" w:rsidRPr="00584AE4">
        <w:t xml:space="preserve">27 </w:t>
      </w:r>
      <w:r>
        <w:t>tỉnh</w:t>
      </w:r>
      <w:r w:rsidR="00584AE4" w:rsidRPr="00584AE4">
        <w:t xml:space="preserve"> </w:t>
      </w:r>
      <w:r w:rsidR="00584AE4">
        <w:t>trong tổng số 63 tỉnh thành</w:t>
      </w:r>
      <w:r>
        <w:t xml:space="preserve"> (tương đương</w:t>
      </w:r>
      <w:r w:rsidR="00841FE5">
        <w:t xml:space="preserve"> với</w:t>
      </w:r>
      <w:r>
        <w:t xml:space="preserve"> </w:t>
      </w:r>
      <w:r w:rsidR="00584AE4" w:rsidRPr="00584AE4">
        <w:t>42.86%</w:t>
      </w:r>
      <w:r>
        <w:t>) công bố trong vòng 15 ngày sau khi kết thúc quý 1 năm 201</w:t>
      </w:r>
      <w:r w:rsidR="00070CDC">
        <w:t>9</w:t>
      </w:r>
      <w:r>
        <w:t>. Có 1</w:t>
      </w:r>
      <w:r w:rsidR="000B758E">
        <w:t>5</w:t>
      </w:r>
      <w:r>
        <w:t xml:space="preserve"> tỉnh (tương đương </w:t>
      </w:r>
      <w:r w:rsidR="003E5296">
        <w:t>2</w:t>
      </w:r>
      <w:r w:rsidR="000B758E">
        <w:t>3</w:t>
      </w:r>
      <w:r w:rsidR="003E5296">
        <w:t>.</w:t>
      </w:r>
      <w:r w:rsidR="000B758E">
        <w:t>81</w:t>
      </w:r>
      <w:r>
        <w:t xml:space="preserve">% trong tổng số 63 tỉnh thành) công bố sau 15 ngày và trong khoảng 30 ngày, </w:t>
      </w:r>
      <w:r w:rsidR="007F5FE7">
        <w:t>16</w:t>
      </w:r>
      <w:r>
        <w:t xml:space="preserve"> tỉnh (tương đương </w:t>
      </w:r>
      <w:r w:rsidR="00B63F0C">
        <w:t>25.4</w:t>
      </w:r>
      <w:r>
        <w:t>% trong tổng số 63 tỉnh thành) công bố sau 30 ngày hoặc không xác định được thời điểm công bố.</w:t>
      </w:r>
    </w:p>
    <w:p w14:paraId="25893A56" w14:textId="15CA0750" w:rsidR="00996527" w:rsidRDefault="00996527" w:rsidP="00100FB8">
      <w:pPr>
        <w:pStyle w:val="Caption"/>
        <w:keepNext/>
      </w:pPr>
      <w:r>
        <w:t xml:space="preserve">Hình </w:t>
      </w:r>
      <w:r w:rsidR="002E3AAA">
        <w:fldChar w:fldCharType="begin"/>
      </w:r>
      <w:r w:rsidR="002E3AAA">
        <w:instrText xml:space="preserve"> SEQ Hình \* ARABIC </w:instrText>
      </w:r>
      <w:r w:rsidR="002E3AAA">
        <w:fldChar w:fldCharType="separate"/>
      </w:r>
      <w:r w:rsidR="0067281F">
        <w:rPr>
          <w:noProof/>
        </w:rPr>
        <w:t>12</w:t>
      </w:r>
      <w:r w:rsidR="002E3AAA">
        <w:rPr>
          <w:noProof/>
        </w:rPr>
        <w:fldChar w:fldCharType="end"/>
      </w:r>
      <w:r>
        <w:t>:</w:t>
      </w:r>
      <w:r w:rsidRPr="00996527">
        <w:rPr>
          <w:b w:val="0"/>
          <w:iCs w:val="0"/>
          <w:color w:val="auto"/>
          <w:szCs w:val="28"/>
        </w:rPr>
        <w:t xml:space="preserve"> </w:t>
      </w:r>
      <w:r w:rsidRPr="00996527">
        <w:t>Số tỉnh công bố báo cáo Tình hình thực hiện ngân sách tỉnh quý 1/2019 phân theo thời gian công bố tài liệu</w:t>
      </w:r>
    </w:p>
    <w:p w14:paraId="78123129" w14:textId="3CF27857" w:rsidR="00996527" w:rsidRDefault="00137592" w:rsidP="006437EF">
      <w:pPr>
        <w:pStyle w:val="BodyText"/>
        <w:jc w:val="center"/>
      </w:pPr>
      <w:r>
        <w:rPr>
          <w:noProof/>
        </w:rPr>
        <w:drawing>
          <wp:inline distT="0" distB="0" distL="0" distR="0" wp14:anchorId="12941B63" wp14:editId="6BC9D2AE">
            <wp:extent cx="3448050" cy="2216150"/>
            <wp:effectExtent l="0" t="0" r="0" b="12700"/>
            <wp:docPr id="40" name="Chart 40">
              <a:extLst xmlns:a="http://schemas.openxmlformats.org/drawingml/2006/main">
                <a:ext uri="{FF2B5EF4-FFF2-40B4-BE49-F238E27FC236}">
                  <a16:creationId xmlns:a16="http://schemas.microsoft.com/office/drawing/2014/main" id="{00000000-0008-0000-02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3215603" w14:textId="49744DB9" w:rsidR="003604DF" w:rsidRDefault="003604DF" w:rsidP="003604DF">
      <w:pPr>
        <w:pStyle w:val="BodyText"/>
      </w:pPr>
      <w:r>
        <w:t xml:space="preserve">Có tới </w:t>
      </w:r>
      <w:r w:rsidR="003C1159">
        <w:t>5</w:t>
      </w:r>
      <w:r w:rsidR="00E340CF">
        <w:t>3</w:t>
      </w:r>
      <w:r>
        <w:t>/</w:t>
      </w:r>
      <w:r w:rsidR="003C1159">
        <w:t>58</w:t>
      </w:r>
      <w:r>
        <w:t xml:space="preserve"> tỉnh có công khai báo cáo Tình hình thực hiện ngân sách tỉnh Quý 1 năm 201</w:t>
      </w:r>
      <w:r w:rsidR="00762BCD">
        <w:t>9</w:t>
      </w:r>
      <w:r>
        <w:t xml:space="preserve"> phản ánh đầy đủ cả 03 biểu theo quy định của Thông tư 343 (chiếm tỉ lệ 8</w:t>
      </w:r>
      <w:r w:rsidR="00E340CF">
        <w:t>4</w:t>
      </w:r>
      <w:r>
        <w:t>.</w:t>
      </w:r>
      <w:r w:rsidR="00E340CF">
        <w:t>13</w:t>
      </w:r>
      <w:r>
        <w:t xml:space="preserve">% trong tổng số 63 tỉnh thành). Có </w:t>
      </w:r>
      <w:r w:rsidR="00CF1FF6">
        <w:t>5</w:t>
      </w:r>
      <w:r>
        <w:t xml:space="preserve"> tỉnh (tương đương </w:t>
      </w:r>
      <w:r w:rsidR="009C45C0">
        <w:t>6</w:t>
      </w:r>
      <w:r>
        <w:t>.</w:t>
      </w:r>
      <w:r w:rsidR="009C45C0">
        <w:t>35</w:t>
      </w:r>
      <w:r>
        <w:t xml:space="preserve">% trong tổng số 63 tỉnh thành) phản ánh 1 hoặc 2 biểu và chỉ có </w:t>
      </w:r>
      <w:r w:rsidR="00B564B0">
        <w:t>1</w:t>
      </w:r>
      <w:r>
        <w:t xml:space="preserve"> tỉnh (tương đương </w:t>
      </w:r>
      <w:r w:rsidR="00B564B0">
        <w:t>1</w:t>
      </w:r>
      <w:r>
        <w:t>.</w:t>
      </w:r>
      <w:r w:rsidR="00B564B0">
        <w:t>59</w:t>
      </w:r>
      <w:r>
        <w:t>% trong tổng số 63 tỉnh thành) không công khai hoặc không phản ánh bất kì biểu nào theo quy định của Thông tư 343.</w:t>
      </w:r>
    </w:p>
    <w:p w14:paraId="6A65CCEB" w14:textId="196B7CE4" w:rsidR="001E0393" w:rsidRDefault="001E0393" w:rsidP="00100FB8">
      <w:pPr>
        <w:pStyle w:val="Caption"/>
        <w:keepNext/>
      </w:pPr>
      <w:r>
        <w:t xml:space="preserve">Hình </w:t>
      </w:r>
      <w:r w:rsidR="002E3AAA">
        <w:fldChar w:fldCharType="begin"/>
      </w:r>
      <w:r w:rsidR="002E3AAA">
        <w:instrText xml:space="preserve"> SEQ Hình \* ARABIC </w:instrText>
      </w:r>
      <w:r w:rsidR="002E3AAA">
        <w:fldChar w:fldCharType="separate"/>
      </w:r>
      <w:r w:rsidR="0067281F">
        <w:rPr>
          <w:noProof/>
        </w:rPr>
        <w:t>13</w:t>
      </w:r>
      <w:r w:rsidR="002E3AAA">
        <w:rPr>
          <w:noProof/>
        </w:rPr>
        <w:fldChar w:fldCharType="end"/>
      </w:r>
      <w:r>
        <w:t xml:space="preserve">: </w:t>
      </w:r>
      <w:r w:rsidRPr="001E0393">
        <w:rPr>
          <w:lang w:val="vi-VN"/>
        </w:rPr>
        <w:t>Số tỉnh công bố báo cáo Tình hình thực hiện ngân sách tỉnh quý 1/2019 phân theo mức độ đầy đủ số lượng các bảng biểu</w:t>
      </w:r>
    </w:p>
    <w:p w14:paraId="3C642462" w14:textId="560EDD98" w:rsidR="001E0393" w:rsidRDefault="00DA21B0" w:rsidP="00867C79">
      <w:pPr>
        <w:pStyle w:val="BodyText"/>
        <w:jc w:val="center"/>
      </w:pPr>
      <w:r>
        <w:rPr>
          <w:noProof/>
        </w:rPr>
        <w:drawing>
          <wp:inline distT="0" distB="0" distL="0" distR="0" wp14:anchorId="52B0338D" wp14:editId="54E1B727">
            <wp:extent cx="3943350" cy="2603500"/>
            <wp:effectExtent l="0" t="0" r="0" b="6350"/>
            <wp:docPr id="41" name="Chart 41">
              <a:extLst xmlns:a="http://schemas.openxmlformats.org/drawingml/2006/main">
                <a:ext uri="{FF2B5EF4-FFF2-40B4-BE49-F238E27FC236}">
                  <a16:creationId xmlns:a16="http://schemas.microsoft.com/office/drawing/2014/main" id="{00000000-0008-0000-02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2E0CAAD" w14:textId="0C554C97" w:rsidR="003604DF" w:rsidRDefault="003604DF" w:rsidP="003604DF">
      <w:pPr>
        <w:pStyle w:val="BodyText"/>
      </w:pPr>
      <w:r>
        <w:lastRenderedPageBreak/>
        <w:t>Các biểu bắt buộc phải công bố công khai theo Thông tư 343 trong tài liệu về tình hình thực hiện ngân sách quý của tỉnh bao gồm biểu số 59 – Cân đối ngân sách địa phương quý, biểu số 60 – Ước thực hiện thu NSNN quý và biểu số 61 – Ước thực hiện chi ngân sách địa phương quý. Khảo sát POBI 201</w:t>
      </w:r>
      <w:r w:rsidR="00762B58">
        <w:t>9</w:t>
      </w:r>
      <w:r>
        <w:t xml:space="preserve"> chỉ tiến hành chấm điểm đầy đủ nội dung của biểu số 59.</w:t>
      </w:r>
      <w:r w:rsidR="00762B58">
        <w:t xml:space="preserve"> </w:t>
      </w:r>
      <w:r>
        <w:t>Kết quả khảo sát POBI 201</w:t>
      </w:r>
      <w:r w:rsidR="00762B58">
        <w:t>9</w:t>
      </w:r>
      <w:r>
        <w:t xml:space="preserve"> cho thấy </w:t>
      </w:r>
      <w:r w:rsidR="00AA13C7">
        <w:t>6</w:t>
      </w:r>
      <w:r w:rsidR="006513CF">
        <w:t>5</w:t>
      </w:r>
      <w:r>
        <w:t>.</w:t>
      </w:r>
      <w:r w:rsidR="006513CF">
        <w:t>67</w:t>
      </w:r>
      <w:r>
        <w:t xml:space="preserve">% số tỉnh (tương đương </w:t>
      </w:r>
      <w:r w:rsidR="00FE5165">
        <w:t>42</w:t>
      </w:r>
      <w:r>
        <w:t xml:space="preserve"> tỉnh) phản ánh đầy đủ cả 4 mục lớn và các mục nhỏ theo quy định của biểu số 59. Chỉ có </w:t>
      </w:r>
      <w:r w:rsidR="00BC5D8D">
        <w:t>10</w:t>
      </w:r>
      <w:r>
        <w:t xml:space="preserve"> tỉnh (tương đương </w:t>
      </w:r>
      <w:r w:rsidR="00331834">
        <w:t>15.87</w:t>
      </w:r>
      <w:r>
        <w:t xml:space="preserve">% tỉnh) phản ánh đầy đủ cả 4 mục lớn nhưng không chi tiết các mục nhỏ và </w:t>
      </w:r>
      <w:r w:rsidR="00FE5165">
        <w:t>6</w:t>
      </w:r>
      <w:r>
        <w:t xml:space="preserve"> tỉnh (tương đương </w:t>
      </w:r>
      <w:r w:rsidR="0098289C">
        <w:t>9</w:t>
      </w:r>
      <w:r>
        <w:t>.</w:t>
      </w:r>
      <w:r w:rsidR="0098289C">
        <w:t>52</w:t>
      </w:r>
      <w:r>
        <w:t>%) không phản ánh đầy đủ 4 mục lớn theo quy định</w:t>
      </w:r>
      <w:r w:rsidR="00C43E9B">
        <w:t xml:space="preserve"> hoặc</w:t>
      </w:r>
      <w:r>
        <w:t xml:space="preserve"> không công khai loại tài liệu này.</w:t>
      </w:r>
    </w:p>
    <w:p w14:paraId="64CC386B" w14:textId="77777777" w:rsidR="003604DF" w:rsidRDefault="003604DF" w:rsidP="003604DF">
      <w:pPr>
        <w:pStyle w:val="Heading3"/>
        <w:numPr>
          <w:ilvl w:val="0"/>
          <w:numId w:val="15"/>
        </w:numPr>
      </w:pPr>
      <w:bookmarkStart w:id="30" w:name="X449dd8dec7d012c99ed31a1d6d6870c9d1b0768"/>
      <w:r>
        <w:t>Báo cáo Tình hình thực hiện ngân sách tỉnh Quý 2/2019</w:t>
      </w:r>
      <w:bookmarkEnd w:id="30"/>
    </w:p>
    <w:p w14:paraId="099D5E74" w14:textId="25C686C4" w:rsidR="003604DF" w:rsidRDefault="003604DF" w:rsidP="003604DF">
      <w:pPr>
        <w:pStyle w:val="FirstParagraph"/>
      </w:pPr>
      <w:r>
        <w:t>Báo cáo Tình hình thực hiên ngân sách tỉnh Quý 2 năm 201</w:t>
      </w:r>
      <w:r w:rsidR="00F44331">
        <w:t>9</w:t>
      </w:r>
      <w:r>
        <w:t xml:space="preserve"> là một trong những tài liệu bắt buộc phải công bố công khai có tỉ lệ số tỉnh công bố ở mức cao, cụ thể hơn 5</w:t>
      </w:r>
      <w:r w:rsidR="001879AB">
        <w:t>8</w:t>
      </w:r>
      <w:r>
        <w:t xml:space="preserve">/63 tỉnh (tương đương </w:t>
      </w:r>
      <w:r w:rsidR="000E242D">
        <w:t>92.06</w:t>
      </w:r>
      <w:r>
        <w:t>%) có công khai loại tài liệu này.</w:t>
      </w:r>
    </w:p>
    <w:p w14:paraId="753D4C19" w14:textId="745DD387" w:rsidR="003604DF" w:rsidRDefault="003604DF" w:rsidP="006D2D4E">
      <w:pPr>
        <w:pStyle w:val="BodyText"/>
      </w:pPr>
      <w:r>
        <w:t>Tổng điểm quy đổi cho tài liệu báo cáo Tình hình thực hiện ngân sách tỉnh Quý 2 năm 201</w:t>
      </w:r>
      <w:r w:rsidR="00070CDC">
        <w:t>9</w:t>
      </w:r>
      <w:r>
        <w:t xml:space="preserve"> là </w:t>
      </w:r>
      <w:r w:rsidR="00BD16DF">
        <w:t>6.78</w:t>
      </w:r>
      <w:r>
        <w:t xml:space="preserve"> điểm. Kết quả chấm POBI 201</w:t>
      </w:r>
      <w:r w:rsidR="00F44331">
        <w:t>9</w:t>
      </w:r>
      <w:r>
        <w:t xml:space="preserve"> cho thấy có 1</w:t>
      </w:r>
      <w:r w:rsidR="00290628">
        <w:t xml:space="preserve">7 </w:t>
      </w:r>
      <w:r>
        <w:t xml:space="preserve">tỉnh đạt điểm tối đa bao gồm: </w:t>
      </w:r>
      <w:r w:rsidR="006D2D4E">
        <w:t>Bắc Giang, Hải Dương, Hà Nam, Vĩnh Long, Yên Bái, Đà Nẵng, Bình Định, Phú Thọ, Thái Bình, Bắc Ninh, Bạc Liêu, Bà Rịa - Vũng Tàu, Ninh Thuận, Đồng Nai, Thanh Hóa, Gia Lai, và Kon Tum</w:t>
      </w:r>
      <w:r>
        <w:t xml:space="preserve">. Các tỉnh không có tên trong danh sách xếp hạng (bao gồm </w:t>
      </w:r>
      <w:r w:rsidR="0062538B">
        <w:t>5</w:t>
      </w:r>
      <w:r>
        <w:t xml:space="preserve"> tỉnh) là những tỉnh không thực hiện việc công khai loại tài liệu này</w:t>
      </w:r>
      <w:r w:rsidR="0062538B">
        <w:t>, bao gồm: Bến Tre, Quảng Bình, Phú Yên, Đồng Tháp, và Hòa Bình</w:t>
      </w:r>
      <w:r>
        <w:t>.</w:t>
      </w:r>
    </w:p>
    <w:p w14:paraId="70D354DF" w14:textId="53A295DA" w:rsidR="00C70BE1" w:rsidRDefault="00C70BE1" w:rsidP="00100FB8">
      <w:pPr>
        <w:pStyle w:val="Caption"/>
        <w:keepNext/>
      </w:pPr>
      <w:r>
        <w:lastRenderedPageBreak/>
        <w:t xml:space="preserve">Hình </w:t>
      </w:r>
      <w:r w:rsidR="002E3AAA">
        <w:fldChar w:fldCharType="begin"/>
      </w:r>
      <w:r w:rsidR="002E3AAA">
        <w:instrText xml:space="preserve"> SEQ Hình \* ARABIC </w:instrText>
      </w:r>
      <w:r w:rsidR="002E3AAA">
        <w:fldChar w:fldCharType="separate"/>
      </w:r>
      <w:r w:rsidR="0067281F">
        <w:rPr>
          <w:noProof/>
        </w:rPr>
        <w:t>14</w:t>
      </w:r>
      <w:r w:rsidR="002E3AAA">
        <w:rPr>
          <w:noProof/>
        </w:rPr>
        <w:fldChar w:fldCharType="end"/>
      </w:r>
      <w:r>
        <w:t xml:space="preserve">: </w:t>
      </w:r>
      <w:r w:rsidRPr="00C70BE1">
        <w:t>Xếp hạng các tỉnh có công bố báo cáo Tình hình thực hiện ngân sách tỉnh 6 tháng 2019 theo điểm POBI 2019</w:t>
      </w:r>
    </w:p>
    <w:p w14:paraId="05281A0C" w14:textId="2B8FC407" w:rsidR="00C70BE1" w:rsidRDefault="00DB759B" w:rsidP="00100FB8">
      <w:pPr>
        <w:pStyle w:val="BodyText"/>
        <w:jc w:val="center"/>
      </w:pPr>
      <w:r>
        <w:rPr>
          <w:noProof/>
        </w:rPr>
        <w:drawing>
          <wp:inline distT="0" distB="0" distL="0" distR="0" wp14:anchorId="45601D14" wp14:editId="5DE67D2D">
            <wp:extent cx="5372100" cy="7448550"/>
            <wp:effectExtent l="0" t="0" r="0" b="0"/>
            <wp:docPr id="42" name="Chart 42">
              <a:extLst xmlns:a="http://schemas.openxmlformats.org/drawingml/2006/main">
                <a:ext uri="{FF2B5EF4-FFF2-40B4-BE49-F238E27FC236}">
                  <a16:creationId xmlns:a16="http://schemas.microsoft.com/office/drawing/2014/main" id="{00000000-0008-0000-02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B9D519E" w14:textId="79FBD697" w:rsidR="003604DF" w:rsidRDefault="003604DF" w:rsidP="003604DF">
      <w:pPr>
        <w:pStyle w:val="BodyText"/>
      </w:pPr>
      <w:r>
        <w:t xml:space="preserve">Số lượng các tỉnh công bố đúng thời hạn quy định của Thông tư 343 cũng khá thấp. Chỉ có </w:t>
      </w:r>
      <w:r w:rsidR="000A1FD4">
        <w:t>3</w:t>
      </w:r>
      <w:r w:rsidR="007E20B5">
        <w:t>4</w:t>
      </w:r>
      <w:r>
        <w:t xml:space="preserve">/63 tỉnh (tương đương </w:t>
      </w:r>
      <w:r w:rsidR="00AE7F92">
        <w:t>5</w:t>
      </w:r>
      <w:r w:rsidR="007E20B5">
        <w:t>3</w:t>
      </w:r>
      <w:r w:rsidR="00AE7F92">
        <w:t>.</w:t>
      </w:r>
      <w:r w:rsidR="007E20B5">
        <w:t>97</w:t>
      </w:r>
      <w:r>
        <w:t>% số tỉnh) công bố trong vòng 15 ngày sau khi kết thúc quý 2 năm 2018. Có 1</w:t>
      </w:r>
      <w:r w:rsidR="00D04536">
        <w:t>1</w:t>
      </w:r>
      <w:r>
        <w:t>/63 tỉnh (tương đương 1</w:t>
      </w:r>
      <w:r w:rsidR="00D04536">
        <w:t>7.46</w:t>
      </w:r>
      <w:r>
        <w:t xml:space="preserve">% tỉnh thành) công bố sau 15 </w:t>
      </w:r>
      <w:r>
        <w:lastRenderedPageBreak/>
        <w:t>ngày và trong khoảng 30 ngày, 1</w:t>
      </w:r>
      <w:r w:rsidR="00F42DBE">
        <w:t>3</w:t>
      </w:r>
      <w:r>
        <w:t xml:space="preserve">/63 tỉnh (tương đương </w:t>
      </w:r>
      <w:r w:rsidR="001B45A9">
        <w:t>2</w:t>
      </w:r>
      <w:r w:rsidR="00F42DBE">
        <w:t>0</w:t>
      </w:r>
      <w:r>
        <w:t>.</w:t>
      </w:r>
      <w:r w:rsidR="00F42DBE">
        <w:t>63</w:t>
      </w:r>
      <w:r>
        <w:t>% tỉnh thành) công bố sau 30 ngày hoặc không xác định được thời điểm công bố.</w:t>
      </w:r>
    </w:p>
    <w:p w14:paraId="2AE22360" w14:textId="7A4D7C1D" w:rsidR="00966E13" w:rsidRDefault="00966E13" w:rsidP="00100FB8">
      <w:pPr>
        <w:pStyle w:val="Caption"/>
        <w:keepNext/>
      </w:pPr>
      <w:r>
        <w:t xml:space="preserve">Hình </w:t>
      </w:r>
      <w:r w:rsidR="002E3AAA">
        <w:fldChar w:fldCharType="begin"/>
      </w:r>
      <w:r w:rsidR="002E3AAA">
        <w:instrText xml:space="preserve"> SEQ Hình \* ARABIC </w:instrText>
      </w:r>
      <w:r w:rsidR="002E3AAA">
        <w:fldChar w:fldCharType="separate"/>
      </w:r>
      <w:r w:rsidR="0067281F">
        <w:rPr>
          <w:noProof/>
        </w:rPr>
        <w:t>15</w:t>
      </w:r>
      <w:r w:rsidR="002E3AAA">
        <w:rPr>
          <w:noProof/>
        </w:rPr>
        <w:fldChar w:fldCharType="end"/>
      </w:r>
      <w:r>
        <w:t>:</w:t>
      </w:r>
      <w:r w:rsidRPr="00966E13">
        <w:rPr>
          <w:b w:val="0"/>
          <w:iCs w:val="0"/>
          <w:color w:val="auto"/>
          <w:szCs w:val="28"/>
        </w:rPr>
        <w:t xml:space="preserve"> </w:t>
      </w:r>
      <w:r w:rsidRPr="00966E13">
        <w:t>Số tỉnh công bố báo cáo Tình hình thực hiện ngân sách tỉnh 6 tháng 2019 phân theo thời gian công bố tài liệu</w:t>
      </w:r>
    </w:p>
    <w:p w14:paraId="4501F2F6" w14:textId="704021C2" w:rsidR="00966E13" w:rsidRDefault="00B915C8" w:rsidP="00100FB8">
      <w:pPr>
        <w:pStyle w:val="BodyText"/>
        <w:jc w:val="center"/>
      </w:pPr>
      <w:r>
        <w:rPr>
          <w:noProof/>
        </w:rPr>
        <w:drawing>
          <wp:inline distT="0" distB="0" distL="0" distR="0" wp14:anchorId="675C015E" wp14:editId="5F211D95">
            <wp:extent cx="4724400" cy="2578100"/>
            <wp:effectExtent l="0" t="0" r="0" b="12700"/>
            <wp:docPr id="43" name="Chart 43">
              <a:extLst xmlns:a="http://schemas.openxmlformats.org/drawingml/2006/main">
                <a:ext uri="{FF2B5EF4-FFF2-40B4-BE49-F238E27FC236}">
                  <a16:creationId xmlns:a16="http://schemas.microsoft.com/office/drawing/2014/main" id="{00000000-0008-0000-02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D510206" w14:textId="1EE95AC9" w:rsidR="003604DF" w:rsidRDefault="003604DF" w:rsidP="003604DF">
      <w:pPr>
        <w:pStyle w:val="BodyText"/>
      </w:pPr>
      <w:r>
        <w:t xml:space="preserve">Có tới </w:t>
      </w:r>
      <w:r w:rsidR="00A54038">
        <w:t xml:space="preserve">52 trong số 58 </w:t>
      </w:r>
      <w:r>
        <w:t>tỉnh có công khai báo cáo Tình hình thực hiện ngân sách tỉnh Quý 2 năm 201</w:t>
      </w:r>
      <w:r w:rsidR="00A54038">
        <w:t>9</w:t>
      </w:r>
      <w:r>
        <w:t xml:space="preserve"> phản ánh đầy đủ cả 03 biểu theo quy định của Thông tư 343 (chiếm tỉ lệ </w:t>
      </w:r>
      <w:r w:rsidR="00FA5A57">
        <w:t>82.54</w:t>
      </w:r>
      <w:r>
        <w:t xml:space="preserve">% trong tổng số 63 tỉnh thành). Có </w:t>
      </w:r>
      <w:r w:rsidR="00F374B1">
        <w:t>4</w:t>
      </w:r>
      <w:r>
        <w:t xml:space="preserve"> tỉnh (tương đương </w:t>
      </w:r>
      <w:r w:rsidR="00F374B1">
        <w:t>6.34</w:t>
      </w:r>
      <w:r>
        <w:t>% trong tổng số 63 tỉnh thành)</w:t>
      </w:r>
      <w:r w:rsidR="00F374B1">
        <w:t xml:space="preserve"> chỉ</w:t>
      </w:r>
      <w:r>
        <w:t xml:space="preserve"> phản ánh 1 hoặc 2 biểu</w:t>
      </w:r>
      <w:r w:rsidR="00F374B1">
        <w:t xml:space="preserve"> và 2 tỉnh (tương đương với 3.2%) không phản ánh biểu nào theo như quy định trong Thông tư 343.</w:t>
      </w:r>
    </w:p>
    <w:p w14:paraId="64110A3A" w14:textId="7ADDDA00" w:rsidR="003B2416" w:rsidRDefault="003B2416" w:rsidP="00100FB8">
      <w:pPr>
        <w:pStyle w:val="Caption"/>
        <w:keepNext/>
      </w:pPr>
      <w:r>
        <w:t xml:space="preserve">Hình </w:t>
      </w:r>
      <w:r w:rsidR="002E3AAA">
        <w:fldChar w:fldCharType="begin"/>
      </w:r>
      <w:r w:rsidR="002E3AAA">
        <w:instrText xml:space="preserve"> SEQ Hình \* ARABIC </w:instrText>
      </w:r>
      <w:r w:rsidR="002E3AAA">
        <w:fldChar w:fldCharType="separate"/>
      </w:r>
      <w:r w:rsidR="0067281F">
        <w:rPr>
          <w:noProof/>
        </w:rPr>
        <w:t>16</w:t>
      </w:r>
      <w:r w:rsidR="002E3AAA">
        <w:rPr>
          <w:noProof/>
        </w:rPr>
        <w:fldChar w:fldCharType="end"/>
      </w:r>
      <w:r>
        <w:t>:</w:t>
      </w:r>
      <w:r w:rsidRPr="003B2416">
        <w:rPr>
          <w:b w:val="0"/>
          <w:iCs w:val="0"/>
          <w:color w:val="auto"/>
          <w:szCs w:val="28"/>
          <w:lang w:val="vi-VN"/>
        </w:rPr>
        <w:t xml:space="preserve"> </w:t>
      </w:r>
      <w:r w:rsidRPr="003B2416">
        <w:rPr>
          <w:lang w:val="vi-VN"/>
        </w:rPr>
        <w:t>Số tỉnh công bố báo cáo Tình hình thực hiện ngân sách tỉnh 6 tháng 2019 phân theo mức độ đầy đủ số lượng các bảng biểu</w:t>
      </w:r>
    </w:p>
    <w:p w14:paraId="6E86BCCB" w14:textId="2B917E53" w:rsidR="003B2416" w:rsidRDefault="003B2416" w:rsidP="00100FB8">
      <w:pPr>
        <w:pStyle w:val="BodyText"/>
        <w:jc w:val="center"/>
      </w:pPr>
      <w:r>
        <w:rPr>
          <w:noProof/>
        </w:rPr>
        <w:drawing>
          <wp:inline distT="0" distB="0" distL="0" distR="0" wp14:anchorId="07A8002F" wp14:editId="1A27BAFD">
            <wp:extent cx="4137660" cy="2834640"/>
            <wp:effectExtent l="0" t="0" r="15240" b="3810"/>
            <wp:docPr id="15" name="Chart 15">
              <a:extLst xmlns:a="http://schemas.openxmlformats.org/drawingml/2006/main">
                <a:ext uri="{FF2B5EF4-FFF2-40B4-BE49-F238E27FC236}">
                  <a16:creationId xmlns:a16="http://schemas.microsoft.com/office/drawing/2014/main" id="{00000000-0008-0000-02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7C78209" w14:textId="61D6EEEA" w:rsidR="003604DF" w:rsidRDefault="003604DF" w:rsidP="003604DF">
      <w:pPr>
        <w:pStyle w:val="BodyText"/>
      </w:pPr>
      <w:r>
        <w:lastRenderedPageBreak/>
        <w:t>Các biểu bắt buộc phải công bố công khai theo Thông tư 343 trong tài liệu về tình hình thực hiện ngân sách quý của tỉnh bao gồm biểu số 59 – Cân đối ngân sách địa phương quý, biểu số 60 – Ước thực hiện thu NSNN quý và biểu số 61 – Ước thực hiện chi ngân sách địa phương quý. Khảo sát POBI 201</w:t>
      </w:r>
      <w:r w:rsidR="00DC21D8">
        <w:t>9</w:t>
      </w:r>
      <w:r>
        <w:t xml:space="preserve"> chỉ tiến hành chấm điểm đầy đủ nội dung của biểu số 59. Theo đó, </w:t>
      </w:r>
      <w:r w:rsidR="007F64D1">
        <w:t>4</w:t>
      </w:r>
      <w:r w:rsidR="00542FAE">
        <w:t>3</w:t>
      </w:r>
      <w:r>
        <w:t xml:space="preserve"> tỉnh (tương đương </w:t>
      </w:r>
      <w:r w:rsidR="007F64D1">
        <w:t>6</w:t>
      </w:r>
      <w:r w:rsidR="00542FAE">
        <w:t>8</w:t>
      </w:r>
      <w:r w:rsidR="007F64D1">
        <w:t>.</w:t>
      </w:r>
      <w:r w:rsidR="00542FAE">
        <w:t>25</w:t>
      </w:r>
      <w:r>
        <w:t xml:space="preserve">% số tỉnh) phản ánh đầy đủ cả 4 mục lớn và các mục nhỏ theo quy định, </w:t>
      </w:r>
      <w:r w:rsidR="007F64D1">
        <w:t>10</w:t>
      </w:r>
      <w:r>
        <w:t xml:space="preserve"> tỉnh (tương đương </w:t>
      </w:r>
      <w:r w:rsidR="00526A38">
        <w:t>15.87</w:t>
      </w:r>
      <w:r>
        <w:t xml:space="preserve">% số tỉnh) phản ánh đầy đủ cả 4 mục lớn nhưng không chi tiết các mục nhỏ và </w:t>
      </w:r>
      <w:r w:rsidR="00713DAF">
        <w:t>5</w:t>
      </w:r>
      <w:r>
        <w:t xml:space="preserve"> tỉnh (tương đương </w:t>
      </w:r>
      <w:r w:rsidR="00713DAF">
        <w:t>7</w:t>
      </w:r>
      <w:r w:rsidR="00283C9B">
        <w:t>.</w:t>
      </w:r>
      <w:r w:rsidR="00713DAF">
        <w:t>94</w:t>
      </w:r>
      <w:r>
        <w:t>% số tỉnh) không phản ánh đầy đủ 4 mục lớn theo quy định. Các tỉnh còn lại không công khai loại tài liệu này.</w:t>
      </w:r>
    </w:p>
    <w:p w14:paraId="1BD475CE" w14:textId="77777777" w:rsidR="003604DF" w:rsidRDefault="003604DF" w:rsidP="003604DF">
      <w:pPr>
        <w:pStyle w:val="Heading3"/>
        <w:numPr>
          <w:ilvl w:val="0"/>
          <w:numId w:val="15"/>
        </w:numPr>
      </w:pPr>
      <w:bookmarkStart w:id="31" w:name="X5c18e7a499b5dff491f7545b84a4e9c296adf37"/>
      <w:r>
        <w:t>Báo cáo Tình hình thực hiện ngân sách tỉnh Quý 3/2019</w:t>
      </w:r>
      <w:bookmarkEnd w:id="31"/>
    </w:p>
    <w:p w14:paraId="40B80DD8" w14:textId="4D835233" w:rsidR="003604DF" w:rsidRDefault="003604DF" w:rsidP="003604DF">
      <w:pPr>
        <w:pStyle w:val="FirstParagraph"/>
      </w:pPr>
      <w:r>
        <w:t>Báo cáo Tình hình thực hiên ngân sách tỉnh Quý 3 năm 201</w:t>
      </w:r>
      <w:r w:rsidR="00070CDC">
        <w:t>9</w:t>
      </w:r>
      <w:r>
        <w:t xml:space="preserve"> là một trong những tài liệu bắt buộc phải công bố công khai có tỉ lệ số tỉnh công bố ở mức tương đối cao, cụ thể hơn </w:t>
      </w:r>
      <w:r w:rsidR="00232B4D">
        <w:t>5</w:t>
      </w:r>
      <w:r w:rsidR="00822285">
        <w:t>5</w:t>
      </w:r>
      <w:r>
        <w:t xml:space="preserve">/63 tỉnh (tương đương </w:t>
      </w:r>
      <w:r w:rsidR="00232B4D">
        <w:t>8</w:t>
      </w:r>
      <w:r w:rsidR="00822285">
        <w:t>7</w:t>
      </w:r>
      <w:r w:rsidR="00232B4D">
        <w:t>.</w:t>
      </w:r>
      <w:r w:rsidR="00822285">
        <w:t>3</w:t>
      </w:r>
      <w:r>
        <w:t xml:space="preserve">%) có công khai loại tài liệu này, tăng thêm </w:t>
      </w:r>
      <w:r w:rsidR="00065024">
        <w:t>9</w:t>
      </w:r>
      <w:r>
        <w:t xml:space="preserve"> tỉnh so với khảo sát POBI 201</w:t>
      </w:r>
      <w:r w:rsidR="00232B4D">
        <w:t>8</w:t>
      </w:r>
      <w:r>
        <w:t xml:space="preserve">. Số tỉnh công bố đầy đủ 3 bảng biểu của Báo cáo tình hình thực hiện ngân sách quí 3 của các tỉnh cũng tăng từ </w:t>
      </w:r>
      <w:r w:rsidR="008013B1">
        <w:t>41</w:t>
      </w:r>
      <w:r>
        <w:t xml:space="preserve"> tỉnh năm 201</w:t>
      </w:r>
      <w:r w:rsidR="008013B1">
        <w:t>8</w:t>
      </w:r>
      <w:r>
        <w:t xml:space="preserve"> lên </w:t>
      </w:r>
      <w:r w:rsidR="008013B1">
        <w:t>5</w:t>
      </w:r>
      <w:r w:rsidR="00F43BB5">
        <w:t>3</w:t>
      </w:r>
      <w:r>
        <w:t xml:space="preserve"> tỉnh trong POBI 201</w:t>
      </w:r>
      <w:r w:rsidR="008013B1">
        <w:t>9</w:t>
      </w:r>
      <w:r>
        <w:t>.</w:t>
      </w:r>
    </w:p>
    <w:p w14:paraId="6FF7DF2C" w14:textId="1D2EDB9C" w:rsidR="003604DF" w:rsidRDefault="003604DF" w:rsidP="00346205">
      <w:pPr>
        <w:pStyle w:val="BodyText"/>
      </w:pPr>
      <w:r>
        <w:t>Tổng điểm quy đổi cho tài liệu báo cáo Tình hình thực hiện ngân sách tỉnh Quý 3 năm 201</w:t>
      </w:r>
      <w:r w:rsidR="009D5997">
        <w:t>9</w:t>
      </w:r>
      <w:r>
        <w:t xml:space="preserve"> là </w:t>
      </w:r>
      <w:r w:rsidR="00E36442">
        <w:t>6.78</w:t>
      </w:r>
      <w:r>
        <w:t xml:space="preserve"> điểm. Kết quả chấm POBI 201</w:t>
      </w:r>
      <w:r w:rsidR="003B436E">
        <w:t>9</w:t>
      </w:r>
      <w:r>
        <w:t xml:space="preserve"> cho thấy có </w:t>
      </w:r>
      <w:r w:rsidR="00346205">
        <w:t>21</w:t>
      </w:r>
      <w:r>
        <w:t xml:space="preserve"> tỉnh đạt điểm tối đa </w:t>
      </w:r>
      <w:r w:rsidR="00D57679">
        <w:t xml:space="preserve">đối với tài liệu này, </w:t>
      </w:r>
      <w:r>
        <w:t xml:space="preserve">bao gồm: </w:t>
      </w:r>
      <w:r w:rsidR="00346205">
        <w:t>Bắc Giang, Yên Bái, Bình Định, Kon Tum, Quảng Trị, Thanh Hóa, Bình Dương, Hải Dương, Vĩnh Long, Đà Nẵng, Lâm Đồng, Cao Bằng, Quảng Nam, Bà Rịa-Vũng Tàu, Gia Lai, Ninh Thuận, Sóc Trăng, Đồng Nai, Bắc Ninh, Phú Thọ, và Thái Bình</w:t>
      </w:r>
      <w:r>
        <w:t xml:space="preserve">. Các tỉnh không có tên trong danh sách xếp hạng (bao gồm </w:t>
      </w:r>
      <w:r w:rsidR="0040154E">
        <w:t>8</w:t>
      </w:r>
      <w:r>
        <w:t xml:space="preserve"> tỉnh) là những tỉnh không thực hiện việc công khai loại tài liệu này.</w:t>
      </w:r>
    </w:p>
    <w:p w14:paraId="77A43FC3" w14:textId="38699DFC" w:rsidR="00360DB8" w:rsidRDefault="00360DB8" w:rsidP="00100FB8">
      <w:pPr>
        <w:pStyle w:val="Caption"/>
        <w:keepNext/>
      </w:pPr>
      <w:r>
        <w:lastRenderedPageBreak/>
        <w:t xml:space="preserve">Hình </w:t>
      </w:r>
      <w:r w:rsidR="002E3AAA">
        <w:fldChar w:fldCharType="begin"/>
      </w:r>
      <w:r w:rsidR="002E3AAA">
        <w:instrText xml:space="preserve"> SEQ Hình \* ARABIC </w:instrText>
      </w:r>
      <w:r w:rsidR="002E3AAA">
        <w:fldChar w:fldCharType="separate"/>
      </w:r>
      <w:r w:rsidR="0067281F">
        <w:rPr>
          <w:noProof/>
        </w:rPr>
        <w:t>17</w:t>
      </w:r>
      <w:r w:rsidR="002E3AAA">
        <w:rPr>
          <w:noProof/>
        </w:rPr>
        <w:fldChar w:fldCharType="end"/>
      </w:r>
      <w:r>
        <w:t xml:space="preserve">: </w:t>
      </w:r>
      <w:r w:rsidRPr="00C70BE1">
        <w:t xml:space="preserve">Xếp hạng các tỉnh có công bố báo cáo Tình hình thực hiện ngân sách tỉnh </w:t>
      </w:r>
      <w:r w:rsidR="00780A76">
        <w:t>9</w:t>
      </w:r>
      <w:r w:rsidRPr="00C70BE1">
        <w:t xml:space="preserve"> tháng 2019 theo điểm POBI 2019</w:t>
      </w:r>
    </w:p>
    <w:p w14:paraId="07572743" w14:textId="04D36265" w:rsidR="00360DB8" w:rsidRDefault="007D1B07" w:rsidP="00100FB8">
      <w:pPr>
        <w:pStyle w:val="BodyText"/>
        <w:jc w:val="center"/>
      </w:pPr>
      <w:r>
        <w:rPr>
          <w:noProof/>
        </w:rPr>
        <w:drawing>
          <wp:inline distT="0" distB="0" distL="0" distR="0" wp14:anchorId="3C72824D" wp14:editId="5948962C">
            <wp:extent cx="5568950" cy="7378700"/>
            <wp:effectExtent l="0" t="0" r="12700" b="12700"/>
            <wp:docPr id="44" name="Chart 44">
              <a:extLst xmlns:a="http://schemas.openxmlformats.org/drawingml/2006/main">
                <a:ext uri="{FF2B5EF4-FFF2-40B4-BE49-F238E27FC236}">
                  <a16:creationId xmlns:a16="http://schemas.microsoft.com/office/drawing/2014/main" id="{00000000-0008-0000-02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33994AC" w14:textId="558716BD" w:rsidR="003604DF" w:rsidRDefault="003604DF" w:rsidP="003604DF">
      <w:pPr>
        <w:pStyle w:val="BodyText"/>
      </w:pPr>
      <w:r>
        <w:t xml:space="preserve">Số lượng các tỉnh công bố đúng thời hạn quy định của Thông tư 343 cũng khá thấp. Chỉ có </w:t>
      </w:r>
      <w:r w:rsidR="00AD67B8">
        <w:t>32</w:t>
      </w:r>
      <w:r>
        <w:t xml:space="preserve">/63 tỉnh (tương đương </w:t>
      </w:r>
      <w:r w:rsidR="00AD67B8">
        <w:t>50</w:t>
      </w:r>
      <w:r>
        <w:t>.</w:t>
      </w:r>
      <w:r w:rsidR="00AD67B8">
        <w:t>79</w:t>
      </w:r>
      <w:r>
        <w:t>% số tỉnh) công bố trong vòng 15 ngày sau khi kết thúc quý 3 năm 201</w:t>
      </w:r>
      <w:r w:rsidR="00070CDC">
        <w:t>9</w:t>
      </w:r>
      <w:r>
        <w:t xml:space="preserve">. Có </w:t>
      </w:r>
      <w:r w:rsidR="008A05D2">
        <w:t>1</w:t>
      </w:r>
      <w:r w:rsidR="007502A7">
        <w:t>2</w:t>
      </w:r>
      <w:r>
        <w:t xml:space="preserve"> tỉnh (tương đương 1</w:t>
      </w:r>
      <w:r w:rsidR="00CD0588">
        <w:t>9</w:t>
      </w:r>
      <w:r>
        <w:t>.</w:t>
      </w:r>
      <w:r w:rsidR="00CD0588">
        <w:t>05</w:t>
      </w:r>
      <w:r>
        <w:t xml:space="preserve">%) công bố sau 15 ngày và trong </w:t>
      </w:r>
      <w:r>
        <w:lastRenderedPageBreak/>
        <w:t xml:space="preserve">khoảng 30 ngày, </w:t>
      </w:r>
      <w:r w:rsidR="006445CD">
        <w:t>1</w:t>
      </w:r>
      <w:r w:rsidR="00735953">
        <w:t>1</w:t>
      </w:r>
      <w:r>
        <w:t xml:space="preserve"> tỉnh (tương đương </w:t>
      </w:r>
      <w:r w:rsidR="00735953">
        <w:t>17</w:t>
      </w:r>
      <w:r>
        <w:t>.4</w:t>
      </w:r>
      <w:r w:rsidR="00735953">
        <w:t>6</w:t>
      </w:r>
      <w:r>
        <w:t xml:space="preserve">%) công bố sau 30 ngày hoặc không xác định được thời điểm công bố. </w:t>
      </w:r>
    </w:p>
    <w:p w14:paraId="40D561ED" w14:textId="57E01ABF" w:rsidR="00B55238" w:rsidRDefault="00B55238" w:rsidP="00100FB8">
      <w:pPr>
        <w:pStyle w:val="Caption"/>
        <w:keepNext/>
      </w:pPr>
      <w:r>
        <w:t xml:space="preserve">Hình </w:t>
      </w:r>
      <w:r w:rsidR="002E3AAA">
        <w:fldChar w:fldCharType="begin"/>
      </w:r>
      <w:r w:rsidR="002E3AAA">
        <w:instrText xml:space="preserve"> SEQ Hình \* ARABIC </w:instrText>
      </w:r>
      <w:r w:rsidR="002E3AAA">
        <w:fldChar w:fldCharType="separate"/>
      </w:r>
      <w:r w:rsidR="0067281F">
        <w:rPr>
          <w:noProof/>
        </w:rPr>
        <w:t>18</w:t>
      </w:r>
      <w:r w:rsidR="002E3AAA">
        <w:rPr>
          <w:noProof/>
        </w:rPr>
        <w:fldChar w:fldCharType="end"/>
      </w:r>
      <w:r>
        <w:t xml:space="preserve">: </w:t>
      </w:r>
      <w:r w:rsidRPr="00B55238">
        <w:t>Số tỉnh công bố báo cáo Tình hình thực hiện ngân sách tỉnh 9 tháng 2019 phân theo thời gian công bố tài liệu</w:t>
      </w:r>
    </w:p>
    <w:p w14:paraId="77F1B7F8" w14:textId="4658419E" w:rsidR="00B55238" w:rsidRDefault="007525C9" w:rsidP="00100FB8">
      <w:pPr>
        <w:pStyle w:val="BodyText"/>
        <w:jc w:val="center"/>
      </w:pPr>
      <w:r>
        <w:rPr>
          <w:noProof/>
        </w:rPr>
        <w:drawing>
          <wp:inline distT="0" distB="0" distL="0" distR="0" wp14:anchorId="42DA1B8C" wp14:editId="11FF5EDB">
            <wp:extent cx="4464050" cy="2597150"/>
            <wp:effectExtent l="0" t="0" r="12700" b="12700"/>
            <wp:docPr id="45" name="Chart 45">
              <a:extLst xmlns:a="http://schemas.openxmlformats.org/drawingml/2006/main">
                <a:ext uri="{FF2B5EF4-FFF2-40B4-BE49-F238E27FC236}">
                  <a16:creationId xmlns:a16="http://schemas.microsoft.com/office/drawing/2014/main" id="{00000000-0008-0000-02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3093D5D" w14:textId="46CC3C07" w:rsidR="003604DF" w:rsidRDefault="003604DF" w:rsidP="003604DF">
      <w:pPr>
        <w:pStyle w:val="BodyText"/>
      </w:pPr>
      <w:r>
        <w:t xml:space="preserve">Có tới </w:t>
      </w:r>
      <w:r w:rsidR="0075280A">
        <w:t>5</w:t>
      </w:r>
      <w:r w:rsidR="004D62B4">
        <w:t>3</w:t>
      </w:r>
      <w:r w:rsidR="0075280A">
        <w:t xml:space="preserve"> trong số 54</w:t>
      </w:r>
      <w:r>
        <w:t xml:space="preserve"> tỉnh có công khai báo cáo Tình hình thực hiện ngân sách tỉnh Quý 3 năm 201</w:t>
      </w:r>
      <w:r w:rsidR="00070CDC">
        <w:t>9</w:t>
      </w:r>
      <w:r>
        <w:t xml:space="preserve"> phản ánh đầy đủ cả 03 biểu theo quy định của Thông tư 343 (chiếm tỉ lệ </w:t>
      </w:r>
      <w:r w:rsidR="009E1364">
        <w:t>8</w:t>
      </w:r>
      <w:r w:rsidR="004D62B4">
        <w:t>4</w:t>
      </w:r>
      <w:r w:rsidR="009E1364">
        <w:t>.</w:t>
      </w:r>
      <w:r w:rsidR="004D62B4">
        <w:t>13</w:t>
      </w:r>
      <w:r>
        <w:t xml:space="preserve">%). Có </w:t>
      </w:r>
      <w:r w:rsidR="00DC18B5">
        <w:t>2</w:t>
      </w:r>
      <w:r>
        <w:t xml:space="preserve"> tỉnh (tương đương </w:t>
      </w:r>
      <w:r w:rsidR="00DC18B5">
        <w:t>3.</w:t>
      </w:r>
      <w:r w:rsidR="00BD4FA5">
        <w:t>17</w:t>
      </w:r>
      <w:r>
        <w:t xml:space="preserve">%) phản ánh 1 hoặc 2 biểu và </w:t>
      </w:r>
      <w:r w:rsidR="00A3724B">
        <w:t>không có tỉnh nào</w:t>
      </w:r>
      <w:r>
        <w:t xml:space="preserve"> không công khai hoặc không phản ánh bất kì biểu nào theo quy định của Thông tư 343.</w:t>
      </w:r>
    </w:p>
    <w:p w14:paraId="15B29057" w14:textId="3753AD94" w:rsidR="00541FF2" w:rsidRDefault="00541FF2" w:rsidP="00100FB8">
      <w:pPr>
        <w:pStyle w:val="Caption"/>
        <w:keepNext/>
      </w:pPr>
      <w:r>
        <w:t xml:space="preserve">Hình </w:t>
      </w:r>
      <w:r w:rsidR="002E3AAA">
        <w:fldChar w:fldCharType="begin"/>
      </w:r>
      <w:r w:rsidR="002E3AAA">
        <w:instrText xml:space="preserve"> SEQ Hình \* ARABIC </w:instrText>
      </w:r>
      <w:r w:rsidR="002E3AAA">
        <w:fldChar w:fldCharType="separate"/>
      </w:r>
      <w:r w:rsidR="0067281F">
        <w:rPr>
          <w:noProof/>
        </w:rPr>
        <w:t>19</w:t>
      </w:r>
      <w:r w:rsidR="002E3AAA">
        <w:rPr>
          <w:noProof/>
        </w:rPr>
        <w:fldChar w:fldCharType="end"/>
      </w:r>
      <w:r>
        <w:t xml:space="preserve">: </w:t>
      </w:r>
      <w:r w:rsidRPr="00541FF2">
        <w:rPr>
          <w:lang w:val="vi-VN"/>
        </w:rPr>
        <w:t>Số tỉnh công bố báo cáo Tình hình thực hiện ngân sách tỉnh 9 tháng 2019 phân theo mức độ đầy đủ số lượng các bảng biểu</w:t>
      </w:r>
    </w:p>
    <w:p w14:paraId="0CA4EAA4" w14:textId="341827D1" w:rsidR="00541FF2" w:rsidRDefault="00624F48" w:rsidP="00100FB8">
      <w:pPr>
        <w:pStyle w:val="BodyText"/>
        <w:jc w:val="center"/>
      </w:pPr>
      <w:r>
        <w:rPr>
          <w:noProof/>
        </w:rPr>
        <w:drawing>
          <wp:inline distT="0" distB="0" distL="0" distR="0" wp14:anchorId="1DBC4AB4" wp14:editId="353C2EDF">
            <wp:extent cx="4546600" cy="2514600"/>
            <wp:effectExtent l="0" t="0" r="6350" b="0"/>
            <wp:docPr id="46" name="Chart 46">
              <a:extLst xmlns:a="http://schemas.openxmlformats.org/drawingml/2006/main">
                <a:ext uri="{FF2B5EF4-FFF2-40B4-BE49-F238E27FC236}">
                  <a16:creationId xmlns:a16="http://schemas.microsoft.com/office/drawing/2014/main" id="{00000000-0008-0000-02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483D913" w14:textId="259335F4" w:rsidR="003604DF" w:rsidRDefault="003604DF" w:rsidP="003604DF">
      <w:pPr>
        <w:pStyle w:val="BodyText"/>
      </w:pPr>
      <w:r>
        <w:t xml:space="preserve">Các biểu bắt buộc phải công bố công khai theo Thông tư 343 trong tài liệu về tình hình thực hiện ngân sách quý của tỉnh bao gồm biểu số 59 – Cân đối ngân sách địa phương quý, biểu số 60 – Ước thực hiện thu NSNN quý và biểu số 61 – Ước thực hiện chi ngân </w:t>
      </w:r>
      <w:r>
        <w:lastRenderedPageBreak/>
        <w:t>sách địa phương quý. Khảo sát POBI 201</w:t>
      </w:r>
      <w:r w:rsidR="005B2507">
        <w:t>9</w:t>
      </w:r>
      <w:r>
        <w:t xml:space="preserve"> chỉ tiến hành chấm điểm đầy đủ nội dung của biểu số 59. Theo đó, có </w:t>
      </w:r>
      <w:r w:rsidR="00D6464E">
        <w:t>4</w:t>
      </w:r>
      <w:r w:rsidR="00527521">
        <w:t>7</w:t>
      </w:r>
      <w:r>
        <w:t xml:space="preserve"> tỉnh (tương đương </w:t>
      </w:r>
      <w:r w:rsidR="00623A8B">
        <w:t>7</w:t>
      </w:r>
      <w:r w:rsidR="00527521">
        <w:t>4</w:t>
      </w:r>
      <w:r w:rsidR="00623A8B">
        <w:t>.</w:t>
      </w:r>
      <w:r w:rsidR="00527521">
        <w:t>6</w:t>
      </w:r>
      <w:r>
        <w:t xml:space="preserve">%) phản ánh đầy đủ cả 4 mục lớn và các mục nhỏ theo quy định, </w:t>
      </w:r>
      <w:r w:rsidR="00B92754">
        <w:t>6</w:t>
      </w:r>
      <w:r>
        <w:t xml:space="preserve"> tỉnh (tương đương </w:t>
      </w:r>
      <w:r w:rsidR="003C786B">
        <w:t>9.52</w:t>
      </w:r>
      <w:r>
        <w:t xml:space="preserve">%) phản ánh đầy đủ cả 4 mục lớn nhưng không chi tiết các mục nhỏ và </w:t>
      </w:r>
      <w:r w:rsidR="00984840">
        <w:t>2</w:t>
      </w:r>
      <w:r>
        <w:t xml:space="preserve"> tỉnh (tương đương </w:t>
      </w:r>
      <w:r w:rsidR="00984840">
        <w:t>3</w:t>
      </w:r>
      <w:r w:rsidR="00C9778E">
        <w:t>.</w:t>
      </w:r>
      <w:r w:rsidR="00984840">
        <w:t>17</w:t>
      </w:r>
      <w:r>
        <w:t>%) không phản ánh đầy đủ 4 mục lớn theo quy định. Các tỉnh còn lại không công khai loại tài liệu này.</w:t>
      </w:r>
    </w:p>
    <w:p w14:paraId="412B81E6" w14:textId="77777777" w:rsidR="003604DF" w:rsidRDefault="003604DF" w:rsidP="003604DF">
      <w:pPr>
        <w:pStyle w:val="Heading3"/>
        <w:numPr>
          <w:ilvl w:val="0"/>
          <w:numId w:val="15"/>
        </w:numPr>
      </w:pPr>
      <w:bookmarkStart w:id="32" w:name="Xaefa61e68f039092924ac31133888d342e6f926"/>
      <w:r>
        <w:t>Báo cáo Tình hình thực hiện ngân sách tỉnh năm 2019</w:t>
      </w:r>
      <w:bookmarkEnd w:id="32"/>
    </w:p>
    <w:p w14:paraId="3D231FC8" w14:textId="30A7EF33" w:rsidR="003604DF" w:rsidRDefault="003604DF" w:rsidP="003604DF">
      <w:pPr>
        <w:pStyle w:val="FirstParagraph"/>
      </w:pPr>
      <w:bookmarkStart w:id="33" w:name="_Hlk44944771"/>
      <w:r>
        <w:t>Báo cáo Tình hình thực hiện ngân sách tỉnh năm 201</w:t>
      </w:r>
      <w:r w:rsidR="000868BD">
        <w:t>9</w:t>
      </w:r>
      <w:r>
        <w:t xml:space="preserve"> là loại tài liệu bắt buộc phải công bố công khai có tỉ lệ các tỉnh công khai thấp trong số các tài liệu tính điểm POBI. Chỉ có </w:t>
      </w:r>
      <w:r w:rsidR="00A8014F" w:rsidRPr="0093543C">
        <w:t>5</w:t>
      </w:r>
      <w:r w:rsidR="001634F5">
        <w:t>3</w:t>
      </w:r>
      <w:r w:rsidR="00A8014F">
        <w:t>/63 tỉnh thành</w:t>
      </w:r>
      <w:r w:rsidR="00A8014F" w:rsidRPr="0093543C">
        <w:t xml:space="preserve"> (</w:t>
      </w:r>
      <w:r w:rsidR="00A8014F">
        <w:t xml:space="preserve">tương đương </w:t>
      </w:r>
      <w:r w:rsidR="00A8014F" w:rsidRPr="0093543C">
        <w:t>8</w:t>
      </w:r>
      <w:r w:rsidR="00D65DFF">
        <w:t>4</w:t>
      </w:r>
      <w:r w:rsidR="00A8014F" w:rsidRPr="0093543C">
        <w:t>.</w:t>
      </w:r>
      <w:r w:rsidR="00D65DFF">
        <w:t>13</w:t>
      </w:r>
      <w:r w:rsidR="00A8014F" w:rsidRPr="0093543C">
        <w:t>%)</w:t>
      </w:r>
      <w:r w:rsidR="00A8014F">
        <w:t xml:space="preserve"> </w:t>
      </w:r>
      <w:r>
        <w:t xml:space="preserve">có công bố công khai loại tài liệu này. </w:t>
      </w:r>
      <w:r w:rsidR="005A10E8">
        <w:t>Tuy nhiên,</w:t>
      </w:r>
      <w:r>
        <w:t xml:space="preserve"> số tỉnh công bố đúng hạn </w:t>
      </w:r>
      <w:r w:rsidR="005A10E8">
        <w:t xml:space="preserve">tăng </w:t>
      </w:r>
      <w:r>
        <w:t xml:space="preserve">từ </w:t>
      </w:r>
      <w:r w:rsidR="000552C1">
        <w:t xml:space="preserve">15 tỉnh (23.8%) </w:t>
      </w:r>
      <w:r>
        <w:t>trong khảo sát POBI 201</w:t>
      </w:r>
      <w:r w:rsidR="000552C1">
        <w:t>8</w:t>
      </w:r>
      <w:r>
        <w:t xml:space="preserve"> </w:t>
      </w:r>
      <w:r w:rsidR="000552C1">
        <w:t>lên 2</w:t>
      </w:r>
      <w:r w:rsidR="000738C7">
        <w:t>8</w:t>
      </w:r>
      <w:r>
        <w:t xml:space="preserve"> tỉnh (</w:t>
      </w:r>
      <w:r w:rsidR="000738C7">
        <w:t>44</w:t>
      </w:r>
      <w:r w:rsidR="000552C1">
        <w:t>.</w:t>
      </w:r>
      <w:r w:rsidR="000738C7">
        <w:t>44</w:t>
      </w:r>
      <w:r>
        <w:t>%) năm 201</w:t>
      </w:r>
      <w:r w:rsidR="00685C51">
        <w:t>9</w:t>
      </w:r>
      <w:r>
        <w:t>.</w:t>
      </w:r>
    </w:p>
    <w:bookmarkEnd w:id="33"/>
    <w:p w14:paraId="07872396" w14:textId="6AA1199F" w:rsidR="003604DF" w:rsidRDefault="003604DF" w:rsidP="00155B2C">
      <w:pPr>
        <w:pStyle w:val="BodyText"/>
      </w:pPr>
      <w:r>
        <w:t>Tổng điểm quy đổi cho tài liệu báo cáo Tình hình thực hiện ngân sách năm 201</w:t>
      </w:r>
      <w:r w:rsidR="00C735ED">
        <w:t>9</w:t>
      </w:r>
      <w:r>
        <w:t xml:space="preserve"> của tỉnh là </w:t>
      </w:r>
      <w:r w:rsidR="005832E6">
        <w:t>6.78</w:t>
      </w:r>
      <w:r>
        <w:t xml:space="preserve"> điểm. Kết quả chấm POBI năm 201</w:t>
      </w:r>
      <w:r w:rsidR="00D5430C">
        <w:t>9</w:t>
      </w:r>
      <w:r>
        <w:t xml:space="preserve"> cho thấy có </w:t>
      </w:r>
      <w:r w:rsidR="00A26BBE">
        <w:t>1</w:t>
      </w:r>
      <w:r w:rsidR="00155B2C">
        <w:t>6</w:t>
      </w:r>
      <w:r>
        <w:t xml:space="preserve"> tỉnh thực hiện công khai rất tốt thông tin này là </w:t>
      </w:r>
      <w:r w:rsidR="00155B2C">
        <w:t>Bắc Giang, Hải Dương, Hà Nam, Vĩnh Long, Bình Định, Bạc Liêu, Bà Rịa - Vũng Tàu, Ninh Thuận, Quảng Nam, Quảng Trị, Đắk Lắk, Tây Ninh, Cao Bằng, Bắc Kạn, Bình Dương, và Bình Thuận</w:t>
      </w:r>
      <w:r>
        <w:t xml:space="preserve">, đều đạt tối đa </w:t>
      </w:r>
      <w:r w:rsidR="00B16B0D">
        <w:t>6.78</w:t>
      </w:r>
      <w:r>
        <w:t xml:space="preserve"> điểm. Một số tỉnh có công khai nhưng thông tin khá sơ sài, không đầy đủ các bảng biểu theo quy định như </w:t>
      </w:r>
      <w:r w:rsidR="00DD2BA9">
        <w:t>Ninh Bình</w:t>
      </w:r>
      <w:r>
        <w:t xml:space="preserve"> (chỉ đạt 2.</w:t>
      </w:r>
      <w:r w:rsidR="00DA1DC3">
        <w:t>54</w:t>
      </w:r>
      <w:r>
        <w:t xml:space="preserve"> điểm) hay Bình Phước (chỉ đạt </w:t>
      </w:r>
      <w:r w:rsidR="00214B32">
        <w:t>1.69</w:t>
      </w:r>
      <w:r>
        <w:t xml:space="preserve"> điểm). </w:t>
      </w:r>
      <w:r w:rsidR="007E02F9">
        <w:t>14</w:t>
      </w:r>
      <w:r>
        <w:t xml:space="preserve"> tỉnh không có tên trong danh sách xếp hạng là những tỉnh không thực hiện việc công khai thông tin này.</w:t>
      </w:r>
    </w:p>
    <w:p w14:paraId="001A5E73" w14:textId="0B88AE7B" w:rsidR="0078357D" w:rsidRDefault="0078357D" w:rsidP="00100FB8">
      <w:pPr>
        <w:pStyle w:val="Caption"/>
        <w:keepNext/>
      </w:pPr>
      <w:r>
        <w:lastRenderedPageBreak/>
        <w:t xml:space="preserve">Hình </w:t>
      </w:r>
      <w:r w:rsidR="002E3AAA">
        <w:fldChar w:fldCharType="begin"/>
      </w:r>
      <w:r w:rsidR="002E3AAA">
        <w:instrText xml:space="preserve"> SEQ Hình \* ARABIC </w:instrText>
      </w:r>
      <w:r w:rsidR="002E3AAA">
        <w:fldChar w:fldCharType="separate"/>
      </w:r>
      <w:r w:rsidR="0067281F">
        <w:rPr>
          <w:noProof/>
        </w:rPr>
        <w:t>20</w:t>
      </w:r>
      <w:r w:rsidR="002E3AAA">
        <w:rPr>
          <w:noProof/>
        </w:rPr>
        <w:fldChar w:fldCharType="end"/>
      </w:r>
      <w:r>
        <w:t xml:space="preserve">: </w:t>
      </w:r>
      <w:r w:rsidRPr="0078357D">
        <w:t>Xếp hạng các tỉnh có công bố báo cáo Tình hình thực</w:t>
      </w:r>
      <w:r>
        <w:t xml:space="preserve"> hiện </w:t>
      </w:r>
      <w:r w:rsidR="009265B4">
        <w:t>năm 2019 trong POBI 2019</w:t>
      </w:r>
      <w:r>
        <w:t xml:space="preserve"> </w:t>
      </w:r>
    </w:p>
    <w:p w14:paraId="22502441" w14:textId="28F1A828" w:rsidR="0078357D" w:rsidRDefault="007F6145" w:rsidP="00100FB8">
      <w:pPr>
        <w:pStyle w:val="BodyText"/>
        <w:jc w:val="center"/>
      </w:pPr>
      <w:r>
        <w:rPr>
          <w:noProof/>
        </w:rPr>
        <w:drawing>
          <wp:inline distT="0" distB="0" distL="0" distR="0" wp14:anchorId="59CCD31B" wp14:editId="0EF5E700">
            <wp:extent cx="5092700" cy="7893050"/>
            <wp:effectExtent l="0" t="0" r="12700" b="12700"/>
            <wp:docPr id="47" name="Chart 47">
              <a:extLst xmlns:a="http://schemas.openxmlformats.org/drawingml/2006/main">
                <a:ext uri="{FF2B5EF4-FFF2-40B4-BE49-F238E27FC236}">
                  <a16:creationId xmlns:a16="http://schemas.microsoft.com/office/drawing/2014/main" id="{00000000-0008-0000-02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66CE27E" w14:textId="798447B0" w:rsidR="003604DF" w:rsidRDefault="003604DF" w:rsidP="003604DF">
      <w:pPr>
        <w:pStyle w:val="BodyText"/>
      </w:pPr>
      <w:r>
        <w:lastRenderedPageBreak/>
        <w:t xml:space="preserve">Có </w:t>
      </w:r>
      <w:r w:rsidR="004954CA">
        <w:t>2</w:t>
      </w:r>
      <w:r w:rsidR="00504E5C">
        <w:t>8</w:t>
      </w:r>
      <w:r>
        <w:t xml:space="preserve"> tỉnh có công khai tài liệu báo cáo Tình hình thực hiện ngân sách tỉnh năm 201</w:t>
      </w:r>
      <w:r w:rsidR="00673089">
        <w:t>9</w:t>
      </w:r>
      <w:r>
        <w:t xml:space="preserve"> công bố đúng thời hạn trong vòng 05 ngày làm việc kể từ ngày Ủy ban nhân dân tỉnh gửi Báo cáo tình hình thực hiện ngân sách tỉnh 201</w:t>
      </w:r>
      <w:r w:rsidR="00F72B57">
        <w:t>9</w:t>
      </w:r>
      <w:r>
        <w:t xml:space="preserve"> cho đại biểu Hội đồng nhân dân cấp tỉnh (chiếm tỉ lệ </w:t>
      </w:r>
      <w:r w:rsidR="002F7D1A">
        <w:t>44</w:t>
      </w:r>
      <w:r w:rsidR="00902523">
        <w:t>.</w:t>
      </w:r>
      <w:r w:rsidR="002F7D1A">
        <w:t>4</w:t>
      </w:r>
      <w:r w:rsidR="00315D3F">
        <w:t>4</w:t>
      </w:r>
      <w:r>
        <w:t xml:space="preserve">% trong tổng số 63 tỉnh thành). Có </w:t>
      </w:r>
      <w:r w:rsidR="00E67923">
        <w:t>8</w:t>
      </w:r>
      <w:r>
        <w:t xml:space="preserve"> tỉnh (tương đương </w:t>
      </w:r>
      <w:r w:rsidR="00B7458C">
        <w:t>12.69</w:t>
      </w:r>
      <w:r>
        <w:t>%) công khai sau 5 ngày và trong khoảng 30 ngày kể từ ngày Ủy ban nhân dân tỉnh gửi Báo cáo tình hình thực hiện ngân sách tỉnh 201</w:t>
      </w:r>
      <w:r w:rsidR="007E11B0">
        <w:t>9</w:t>
      </w:r>
      <w:r>
        <w:t xml:space="preserve"> cho đại biểu Hội đồng nhân dân cấp tỉnh, </w:t>
      </w:r>
      <w:r w:rsidR="007E11B0">
        <w:t>17</w:t>
      </w:r>
      <w:r>
        <w:t xml:space="preserve"> tỉnh (tương đương </w:t>
      </w:r>
      <w:r w:rsidR="004C190B">
        <w:t>26.98</w:t>
      </w:r>
      <w:r>
        <w:t>%) công khai sau 30 ngày kể từ ngày Ủy ban nhân dân tỉnh gửi Báo cáo tình hình thực hiện ngân sách tỉnh 201</w:t>
      </w:r>
      <w:r w:rsidR="00A75B3E">
        <w:t>9</w:t>
      </w:r>
      <w:r>
        <w:t xml:space="preserve"> cho đại biểu Hội đồng nhân dân cấp tỉnh hoặc không rõ ngày công khai</w:t>
      </w:r>
      <w:r w:rsidR="00D859CF">
        <w:t>.</w:t>
      </w:r>
    </w:p>
    <w:p w14:paraId="69B3F09F" w14:textId="304055E4" w:rsidR="003F34F7" w:rsidRDefault="003F34F7" w:rsidP="00100FB8">
      <w:pPr>
        <w:pStyle w:val="Caption"/>
        <w:keepNext/>
      </w:pPr>
      <w:r>
        <w:t xml:space="preserve">Hình </w:t>
      </w:r>
      <w:r w:rsidR="002E3AAA">
        <w:fldChar w:fldCharType="begin"/>
      </w:r>
      <w:r w:rsidR="002E3AAA">
        <w:instrText xml:space="preserve"> SEQ Hìn</w:instrText>
      </w:r>
      <w:r w:rsidR="002E3AAA">
        <w:instrText xml:space="preserve">h \* ARABIC </w:instrText>
      </w:r>
      <w:r w:rsidR="002E3AAA">
        <w:fldChar w:fldCharType="separate"/>
      </w:r>
      <w:r w:rsidR="0067281F">
        <w:rPr>
          <w:noProof/>
        </w:rPr>
        <w:t>21</w:t>
      </w:r>
      <w:r w:rsidR="002E3AAA">
        <w:rPr>
          <w:noProof/>
        </w:rPr>
        <w:fldChar w:fldCharType="end"/>
      </w:r>
      <w:r>
        <w:t xml:space="preserve">: </w:t>
      </w:r>
      <w:r w:rsidRPr="003F34F7">
        <w:t>Số tỉnh công bố báo cáo Tình hình thực hiện ngân sách tỉnh năm 2019 phân theo thời gian công bố tài liệu</w:t>
      </w:r>
    </w:p>
    <w:p w14:paraId="5B2F7D8F" w14:textId="6BC392CC" w:rsidR="003F34F7" w:rsidRDefault="00FA560C" w:rsidP="00100FB8">
      <w:pPr>
        <w:pStyle w:val="BodyText"/>
        <w:jc w:val="center"/>
      </w:pPr>
      <w:r>
        <w:rPr>
          <w:noProof/>
        </w:rPr>
        <w:drawing>
          <wp:inline distT="0" distB="0" distL="0" distR="0" wp14:anchorId="48E38229" wp14:editId="7B4268BA">
            <wp:extent cx="4889500" cy="2724150"/>
            <wp:effectExtent l="0" t="0" r="6350" b="0"/>
            <wp:docPr id="48" name="Chart 48">
              <a:extLst xmlns:a="http://schemas.openxmlformats.org/drawingml/2006/main">
                <a:ext uri="{FF2B5EF4-FFF2-40B4-BE49-F238E27FC236}">
                  <a16:creationId xmlns:a16="http://schemas.microsoft.com/office/drawing/2014/main" id="{00000000-0008-0000-02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A39F408" w14:textId="1243D73D" w:rsidR="003604DF" w:rsidRDefault="003604DF" w:rsidP="003604DF">
      <w:pPr>
        <w:pStyle w:val="BodyText"/>
      </w:pPr>
      <w:r>
        <w:t xml:space="preserve">Trong số </w:t>
      </w:r>
      <w:r w:rsidR="0002500F">
        <w:t>53</w:t>
      </w:r>
      <w:r>
        <w:t xml:space="preserve"> tỉnh có công bố công khai tài liệu báo cáo Tình hình thực hiện ngân sách tỉnh năm 201</w:t>
      </w:r>
      <w:r w:rsidR="00412A81">
        <w:t>9</w:t>
      </w:r>
      <w:r>
        <w:t xml:space="preserve">, có </w:t>
      </w:r>
      <w:r w:rsidR="00FD0501">
        <w:t>42</w:t>
      </w:r>
      <w:r>
        <w:t xml:space="preserve"> tỉnh (tương đương </w:t>
      </w:r>
      <w:r w:rsidR="00FD0501">
        <w:t>66</w:t>
      </w:r>
      <w:r w:rsidR="005C72C5">
        <w:t>.</w:t>
      </w:r>
      <w:r w:rsidR="00FD0501">
        <w:t>67</w:t>
      </w:r>
      <w:r>
        <w:t xml:space="preserve">%) phản ánh đầy đủ cả ba biểu theo quy định của Thông tư 343, Có </w:t>
      </w:r>
      <w:r w:rsidR="002806D6">
        <w:t>8</w:t>
      </w:r>
      <w:r>
        <w:t xml:space="preserve"> tỉnh phản ánh một hoặc hai biểu, (tương đương </w:t>
      </w:r>
      <w:r w:rsidR="009662BA">
        <w:t>12.69</w:t>
      </w:r>
      <w:r>
        <w:t xml:space="preserve">%) và có </w:t>
      </w:r>
      <w:r w:rsidR="0020124C">
        <w:t>4</w:t>
      </w:r>
      <w:r>
        <w:t xml:space="preserve"> tỉnh (tương đương </w:t>
      </w:r>
      <w:r w:rsidR="00532303">
        <w:t>6.35</w:t>
      </w:r>
      <w:r>
        <w:t>%) không phản ảnh bảng biểu nào theo quy định.</w:t>
      </w:r>
    </w:p>
    <w:p w14:paraId="68927000" w14:textId="73684A34" w:rsidR="0004599A" w:rsidRDefault="0004599A" w:rsidP="00100FB8">
      <w:pPr>
        <w:pStyle w:val="Caption"/>
        <w:keepNext/>
      </w:pPr>
      <w:r>
        <w:lastRenderedPageBreak/>
        <w:t xml:space="preserve">Hình </w:t>
      </w:r>
      <w:r w:rsidR="002E3AAA">
        <w:fldChar w:fldCharType="begin"/>
      </w:r>
      <w:r w:rsidR="002E3AAA">
        <w:instrText xml:space="preserve"> SEQ Hình \* ARABIC </w:instrText>
      </w:r>
      <w:r w:rsidR="002E3AAA">
        <w:fldChar w:fldCharType="separate"/>
      </w:r>
      <w:r w:rsidR="0067281F">
        <w:rPr>
          <w:noProof/>
        </w:rPr>
        <w:t>22</w:t>
      </w:r>
      <w:r w:rsidR="002E3AAA">
        <w:rPr>
          <w:noProof/>
        </w:rPr>
        <w:fldChar w:fldCharType="end"/>
      </w:r>
      <w:r>
        <w:t xml:space="preserve">: </w:t>
      </w:r>
      <w:r w:rsidRPr="0004599A">
        <w:rPr>
          <w:lang w:val="vi-VN"/>
        </w:rPr>
        <w:t>Số tỉnh công bố báo cáo Tình hình thực hiện ngân sách tỉnh năm 2019 phân theo mức độ đầy đủ số lượng các bảng biểu</w:t>
      </w:r>
    </w:p>
    <w:p w14:paraId="192A9F22" w14:textId="73F106A2" w:rsidR="0004599A" w:rsidRDefault="00EE44C9" w:rsidP="00EE44C9">
      <w:pPr>
        <w:pStyle w:val="BodyText"/>
        <w:jc w:val="center"/>
      </w:pPr>
      <w:r>
        <w:rPr>
          <w:noProof/>
        </w:rPr>
        <w:drawing>
          <wp:inline distT="0" distB="0" distL="0" distR="0" wp14:anchorId="00987402" wp14:editId="41DFB976">
            <wp:extent cx="3898900" cy="2178050"/>
            <wp:effectExtent l="0" t="0" r="6350" b="12700"/>
            <wp:docPr id="49" name="Chart 49">
              <a:extLst xmlns:a="http://schemas.openxmlformats.org/drawingml/2006/main">
                <a:ext uri="{FF2B5EF4-FFF2-40B4-BE49-F238E27FC236}">
                  <a16:creationId xmlns:a16="http://schemas.microsoft.com/office/drawing/2014/main" id="{00000000-0008-0000-02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C53C534" w14:textId="5A998A17" w:rsidR="003604DF" w:rsidRDefault="003604DF" w:rsidP="003604DF">
      <w:pPr>
        <w:pStyle w:val="BodyText"/>
      </w:pPr>
      <w:r>
        <w:t>Các biểu bắt buộc phải công bố công khai theo Thông tư 343 trong tài liệu về báo cáo Tình hình thực hiện ngân sách năm 201</w:t>
      </w:r>
      <w:r w:rsidR="00412A81">
        <w:t>9</w:t>
      </w:r>
      <w:r>
        <w:t xml:space="preserve"> của tỉnh bao gồm biểu số 59 – Cân đối ngân sách địa phương năm, biểu số 60 – Ước thực hiện thu NSNN năm và biểu số 61 – Ước thực hiện chi ngân sách địa phương năm. Khảo sát POBI 201</w:t>
      </w:r>
      <w:r w:rsidR="00042DFF">
        <w:t>9</w:t>
      </w:r>
      <w:r>
        <w:t xml:space="preserve"> chỉ tiến hành chấm điểm đầy đủ nội dung của biểu số 59 – Biểu về Cân đối ngân sách địa phương năm 201</w:t>
      </w:r>
      <w:r w:rsidR="00042DFF">
        <w:t>9</w:t>
      </w:r>
      <w:r>
        <w:t xml:space="preserve">. Theo đó, </w:t>
      </w:r>
      <w:r w:rsidR="00042DFF">
        <w:t>3</w:t>
      </w:r>
      <w:r w:rsidR="00556B6F">
        <w:t>7</w:t>
      </w:r>
      <w:r>
        <w:t xml:space="preserve"> tỉnh (tương đương </w:t>
      </w:r>
      <w:r w:rsidR="00C15E96">
        <w:t>5</w:t>
      </w:r>
      <w:r w:rsidR="00556B6F">
        <w:t>8</w:t>
      </w:r>
      <w:r w:rsidR="00C15E96">
        <w:t>.7</w:t>
      </w:r>
      <w:r w:rsidR="00556B6F">
        <w:t>3</w:t>
      </w:r>
      <w:r>
        <w:t xml:space="preserve">% số tỉnh) phản ánh đầy đủ cả 4 mục lớn và các mục nhỏ theo quy định., </w:t>
      </w:r>
      <w:r w:rsidR="00042DFF">
        <w:t>4</w:t>
      </w:r>
      <w:r>
        <w:t xml:space="preserve"> tỉnh (tương đương </w:t>
      </w:r>
      <w:r w:rsidR="006530E3">
        <w:t>6.35</w:t>
      </w:r>
      <w:r>
        <w:t>%) phản ánh đầy đủ cả 4 mục lớn nhưng không chi tiết các mục nhỏ và 13 tỉnh (tương đương 20.6%) không phản ánh đầy đủ 8 mục lớn theo quy định. Các tỉnh còn lại (</w:t>
      </w:r>
      <w:r w:rsidR="00DE2DE7">
        <w:t>13</w:t>
      </w:r>
      <w:r>
        <w:t xml:space="preserve"> tỉnh) không công khai loại tài liệu này.</w:t>
      </w:r>
    </w:p>
    <w:p w14:paraId="54C11DC0" w14:textId="77777777" w:rsidR="003604DF" w:rsidRDefault="003604DF" w:rsidP="003604DF">
      <w:pPr>
        <w:pStyle w:val="Heading3"/>
        <w:numPr>
          <w:ilvl w:val="0"/>
          <w:numId w:val="15"/>
        </w:numPr>
      </w:pPr>
      <w:bookmarkStart w:id="34" w:name="X8558d4e5a11bc581b46002dbb4a653aa68ff434"/>
      <w:r>
        <w:t>Báo cáo Quyết toán ngân sách tỉnh năm 2018 đã được HĐND tỉnh phê chuẩn</w:t>
      </w:r>
      <w:bookmarkEnd w:id="34"/>
    </w:p>
    <w:p w14:paraId="51A34C09" w14:textId="012B295C" w:rsidR="00695562" w:rsidRDefault="003604DF" w:rsidP="003604DF">
      <w:pPr>
        <w:pStyle w:val="FirstParagraph"/>
      </w:pPr>
      <w:bookmarkStart w:id="35" w:name="_Hlk44944916"/>
      <w:r>
        <w:t>Quyết toán ngân sách tỉnh năm 201</w:t>
      </w:r>
      <w:r w:rsidR="00E41C7C">
        <w:t>8</w:t>
      </w:r>
      <w:r>
        <w:t xml:space="preserve"> là tài liệu ngân sách có số lượng các tỉnh công bố công khai </w:t>
      </w:r>
      <w:r w:rsidR="006D038E">
        <w:t>tương đối cao</w:t>
      </w:r>
      <w:r>
        <w:t>. Kết quả khảo sát cho thấy có 5</w:t>
      </w:r>
      <w:r w:rsidR="0061320C">
        <w:t>7</w:t>
      </w:r>
      <w:r>
        <w:t xml:space="preserve">/63 tỉnh thành (tương đương </w:t>
      </w:r>
      <w:r w:rsidR="002F0042">
        <w:t>9</w:t>
      </w:r>
      <w:r w:rsidR="00EB3B82">
        <w:t>0.48</w:t>
      </w:r>
      <w:r>
        <w:t>%) có công bố công khai loại tài liệu này.</w:t>
      </w:r>
      <w:bookmarkEnd w:id="35"/>
      <w:r w:rsidR="00695562" w:rsidRPr="00695562">
        <w:rPr>
          <w:noProof/>
        </w:rPr>
        <w:t xml:space="preserve"> </w:t>
      </w:r>
    </w:p>
    <w:p w14:paraId="00A8E451" w14:textId="263CB399" w:rsidR="00695562" w:rsidRDefault="00695562" w:rsidP="00100FB8">
      <w:pPr>
        <w:pStyle w:val="Caption"/>
        <w:keepNext/>
      </w:pPr>
      <w:r>
        <w:lastRenderedPageBreak/>
        <w:t xml:space="preserve">Hình </w:t>
      </w:r>
      <w:r w:rsidR="002E3AAA">
        <w:fldChar w:fldCharType="begin"/>
      </w:r>
      <w:r w:rsidR="002E3AAA">
        <w:instrText xml:space="preserve"> SEQ Hình \* ARABIC </w:instrText>
      </w:r>
      <w:r w:rsidR="002E3AAA">
        <w:fldChar w:fldCharType="separate"/>
      </w:r>
      <w:r w:rsidR="0067281F">
        <w:rPr>
          <w:noProof/>
        </w:rPr>
        <w:t>23</w:t>
      </w:r>
      <w:r w:rsidR="002E3AAA">
        <w:rPr>
          <w:noProof/>
        </w:rPr>
        <w:fldChar w:fldCharType="end"/>
      </w:r>
      <w:r>
        <w:t xml:space="preserve">: </w:t>
      </w:r>
      <w:r w:rsidRPr="00695562">
        <w:t>Xếp hạng các tỉnh có công bố quyết toán ngân sách tỉnh năm 2018 theo điểm POBI 2019</w:t>
      </w:r>
    </w:p>
    <w:p w14:paraId="0F9F41FE" w14:textId="07903346" w:rsidR="003604DF" w:rsidRDefault="000D4677" w:rsidP="000D4677">
      <w:pPr>
        <w:pStyle w:val="FirstParagraph"/>
        <w:jc w:val="center"/>
      </w:pPr>
      <w:r>
        <w:rPr>
          <w:noProof/>
        </w:rPr>
        <w:drawing>
          <wp:inline distT="0" distB="0" distL="0" distR="0" wp14:anchorId="420BB129" wp14:editId="38F3FDE9">
            <wp:extent cx="5187950" cy="8077200"/>
            <wp:effectExtent l="0" t="0" r="12700" b="0"/>
            <wp:docPr id="50" name="Chart 50">
              <a:extLst xmlns:a="http://schemas.openxmlformats.org/drawingml/2006/main">
                <a:ext uri="{FF2B5EF4-FFF2-40B4-BE49-F238E27FC236}">
                  <a16:creationId xmlns:a16="http://schemas.microsoft.com/office/drawing/2014/main" id="{00000000-0008-0000-02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BB36EAF" w14:textId="0F99A270" w:rsidR="003604DF" w:rsidRDefault="003604DF" w:rsidP="00565ACF">
      <w:pPr>
        <w:pStyle w:val="BodyText"/>
      </w:pPr>
      <w:r>
        <w:lastRenderedPageBreak/>
        <w:t>Tổng điểm quy đổi cho tài liệu Quyết toán ngân sách tỉnh năm 201</w:t>
      </w:r>
      <w:r w:rsidR="00C15A52">
        <w:t>8</w:t>
      </w:r>
      <w:r>
        <w:t xml:space="preserve"> là </w:t>
      </w:r>
      <w:r w:rsidR="002E5720">
        <w:t>25.42</w:t>
      </w:r>
      <w:r>
        <w:t xml:space="preserve"> điểm. Kết quả chấm POBI </w:t>
      </w:r>
      <w:r w:rsidR="008B43C7">
        <w:t>2019</w:t>
      </w:r>
      <w:r>
        <w:t xml:space="preserve"> cho thấy </w:t>
      </w:r>
      <w:r w:rsidR="008B43C7">
        <w:t xml:space="preserve">chưa </w:t>
      </w:r>
      <w:r>
        <w:t xml:space="preserve">có tỉnh </w:t>
      </w:r>
      <w:r w:rsidR="008B43C7">
        <w:t xml:space="preserve">nào </w:t>
      </w:r>
      <w:r>
        <w:t xml:space="preserve">đạt </w:t>
      </w:r>
      <w:r w:rsidR="008B43C7">
        <w:t xml:space="preserve">số </w:t>
      </w:r>
      <w:r>
        <w:t>điểm tối đa</w:t>
      </w:r>
      <w:r w:rsidR="008B43C7">
        <w:t xml:space="preserve"> đối với tài liệu Quyết toán ngân sách tỉnh năm 2018</w:t>
      </w:r>
      <w:r>
        <w:t xml:space="preserve">. Một số tỉnh có số điểm tương đối cao như </w:t>
      </w:r>
      <w:r w:rsidR="004B12DE">
        <w:t>Lâm Đồng và Bến Tre</w:t>
      </w:r>
      <w:r w:rsidR="00107B0E">
        <w:t xml:space="preserve"> và Tây Ninh </w:t>
      </w:r>
      <w:r>
        <w:t xml:space="preserve">(đều đạt </w:t>
      </w:r>
      <w:r w:rsidR="0073099F">
        <w:t>23.</w:t>
      </w:r>
      <w:r w:rsidR="00107B0E">
        <w:t>96</w:t>
      </w:r>
      <w:r>
        <w:t xml:space="preserve"> điểm), </w:t>
      </w:r>
      <w:r w:rsidR="00B50CB5">
        <w:t>Bắc Cạn</w:t>
      </w:r>
      <w:r>
        <w:t xml:space="preserve"> (</w:t>
      </w:r>
      <w:r w:rsidR="00B50CB5">
        <w:t>23.</w:t>
      </w:r>
      <w:r w:rsidR="007D1C01">
        <w:t>68</w:t>
      </w:r>
      <w:r>
        <w:t xml:space="preserve"> điểm).  Một số tỉnh mặc dù có thực hiện việc công khai nhưng không đầy đủ như </w:t>
      </w:r>
      <w:r w:rsidR="00350B81">
        <w:t>Quảng Ngãi</w:t>
      </w:r>
      <w:r>
        <w:t xml:space="preserve"> (chỉ đạt </w:t>
      </w:r>
      <w:r w:rsidR="00A34BED">
        <w:t>4.67</w:t>
      </w:r>
      <w:r w:rsidR="00350B81">
        <w:t xml:space="preserve"> điểm</w:t>
      </w:r>
      <w:r>
        <w:t xml:space="preserve">), </w:t>
      </w:r>
      <w:r w:rsidR="000C7F6C">
        <w:t>Nghệ An</w:t>
      </w:r>
      <w:r>
        <w:t xml:space="preserve"> (</w:t>
      </w:r>
      <w:r w:rsidR="000C7F6C">
        <w:t>9.</w:t>
      </w:r>
      <w:r w:rsidR="00FF2F8B">
        <w:t>6</w:t>
      </w:r>
      <w:r w:rsidR="000C7F6C">
        <w:t>3</w:t>
      </w:r>
      <w:r>
        <w:t xml:space="preserve"> điểm)</w:t>
      </w:r>
      <w:r w:rsidR="00AB2D4F">
        <w:t>, hay</w:t>
      </w:r>
      <w:r>
        <w:t xml:space="preserve"> </w:t>
      </w:r>
      <w:r w:rsidR="00AB2D4F">
        <w:t xml:space="preserve">Hà Tĩnh </w:t>
      </w:r>
      <w:r>
        <w:t>(</w:t>
      </w:r>
      <w:r w:rsidR="00AB2D4F">
        <w:t>9.9</w:t>
      </w:r>
      <w:r w:rsidR="00FF2F8B">
        <w:t>3</w:t>
      </w:r>
      <w:r>
        <w:t xml:space="preserve"> điểm). Có </w:t>
      </w:r>
      <w:r w:rsidR="002321B3">
        <w:t>7</w:t>
      </w:r>
      <w:r>
        <w:t xml:space="preserve"> tỉnh không thực hiện việc công khai tài liệu này bao gồm:</w:t>
      </w:r>
      <w:r w:rsidR="00565ACF">
        <w:t xml:space="preserve"> Bạc Liêu, Kiên Giang, Thanh Hóa, Lạng Sơn, Đồng Tháp, và Hòa Bình</w:t>
      </w:r>
      <w:r>
        <w:t>.</w:t>
      </w:r>
    </w:p>
    <w:p w14:paraId="5DAA1F5E" w14:textId="59C64E75" w:rsidR="003604DF" w:rsidRDefault="003604DF" w:rsidP="003604DF">
      <w:pPr>
        <w:pStyle w:val="BodyText"/>
      </w:pPr>
      <w:bookmarkStart w:id="36" w:name="_Hlk44944943"/>
      <w:r>
        <w:t>Quyết toán ngân sách tỉnh năm 201</w:t>
      </w:r>
      <w:r w:rsidR="00486DF3">
        <w:t>8</w:t>
      </w:r>
      <w:r>
        <w:t xml:space="preserve"> cũng là loại tài liệu có tỉ lệ các tỉnh công bố đúng thời hạn tương đối cao. Có </w:t>
      </w:r>
      <w:r w:rsidR="008957D8">
        <w:t>40</w:t>
      </w:r>
      <w:r>
        <w:t xml:space="preserve"> tỉnh (tương đương </w:t>
      </w:r>
      <w:r w:rsidR="003F6AE1">
        <w:t>6</w:t>
      </w:r>
      <w:r w:rsidR="008957D8">
        <w:t>3</w:t>
      </w:r>
      <w:r w:rsidR="003F6AE1">
        <w:t>.</w:t>
      </w:r>
      <w:r w:rsidR="008957D8">
        <w:t>4</w:t>
      </w:r>
      <w:r w:rsidR="003F6AE1">
        <w:t>9</w:t>
      </w:r>
      <w:r>
        <w:t xml:space="preserve">%) công bố tài liệu này trong vòng 30 ngày sau khi HĐND tỉnh ban hành Nghị quyết phê chuẩn Quyết toán ngân sách tỉnh năm 2017, đúng thời hạn quy định của Thông tư 343. Có </w:t>
      </w:r>
      <w:r w:rsidR="009C0401">
        <w:t>6</w:t>
      </w:r>
      <w:r>
        <w:t xml:space="preserve"> tỉnh (tương đương </w:t>
      </w:r>
      <w:r w:rsidR="00EE28BA">
        <w:t>9.52</w:t>
      </w:r>
      <w:r>
        <w:t xml:space="preserve">%) công khai kể từ ngày thứ 31 đến ngày thứ 60, </w:t>
      </w:r>
      <w:r w:rsidR="00651F3E">
        <w:t xml:space="preserve">và </w:t>
      </w:r>
      <w:r w:rsidR="009C0401">
        <w:t>11</w:t>
      </w:r>
      <w:r>
        <w:t xml:space="preserve"> tỉnh (tương đương </w:t>
      </w:r>
      <w:r w:rsidR="002B3D50">
        <w:t>17.46</w:t>
      </w:r>
      <w:r>
        <w:t>%) công khai chậm hơn 60 ngày hoặc không xác định được chính xác thời điểm công khai.</w:t>
      </w:r>
      <w:bookmarkEnd w:id="36"/>
    </w:p>
    <w:p w14:paraId="377F3AAD" w14:textId="6F1A7695" w:rsidR="0076622A" w:rsidRDefault="0076622A" w:rsidP="00100FB8">
      <w:pPr>
        <w:pStyle w:val="Caption"/>
        <w:keepNext/>
      </w:pPr>
      <w:r>
        <w:t xml:space="preserve">Hình </w:t>
      </w:r>
      <w:r w:rsidR="002E3AAA">
        <w:fldChar w:fldCharType="begin"/>
      </w:r>
      <w:r w:rsidR="002E3AAA">
        <w:instrText xml:space="preserve"> SEQ Hình \* ARABIC </w:instrText>
      </w:r>
      <w:r w:rsidR="002E3AAA">
        <w:fldChar w:fldCharType="separate"/>
      </w:r>
      <w:r w:rsidR="0067281F">
        <w:rPr>
          <w:noProof/>
        </w:rPr>
        <w:t>24</w:t>
      </w:r>
      <w:r w:rsidR="002E3AAA">
        <w:rPr>
          <w:noProof/>
        </w:rPr>
        <w:fldChar w:fldCharType="end"/>
      </w:r>
      <w:r>
        <w:t xml:space="preserve">: </w:t>
      </w:r>
      <w:r w:rsidRPr="0076622A">
        <w:t>Số tỉnh công bố tài liệu quyết toán ngân sách tỉnh năm 2018 phân theo thời gian công bố tài liệu</w:t>
      </w:r>
    </w:p>
    <w:p w14:paraId="4A8B7AEF" w14:textId="4A77770A" w:rsidR="0076622A" w:rsidRDefault="0076622A" w:rsidP="00100FB8">
      <w:pPr>
        <w:pStyle w:val="BodyText"/>
        <w:jc w:val="center"/>
      </w:pPr>
      <w:r>
        <w:rPr>
          <w:noProof/>
        </w:rPr>
        <w:drawing>
          <wp:inline distT="0" distB="0" distL="0" distR="0" wp14:anchorId="641EA70D" wp14:editId="1F8AC45E">
            <wp:extent cx="4198620" cy="2750820"/>
            <wp:effectExtent l="0" t="0" r="11430" b="11430"/>
            <wp:docPr id="23" name="Chart 23">
              <a:extLst xmlns:a="http://schemas.openxmlformats.org/drawingml/2006/main">
                <a:ext uri="{FF2B5EF4-FFF2-40B4-BE49-F238E27FC236}">
                  <a16:creationId xmlns:a16="http://schemas.microsoft.com/office/drawing/2014/main" id="{00000000-0008-0000-02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2823349" w14:textId="27FDBE6B" w:rsidR="003604DF" w:rsidRDefault="003604DF" w:rsidP="003604DF">
      <w:pPr>
        <w:pStyle w:val="BodyText"/>
      </w:pPr>
      <w:r>
        <w:t xml:space="preserve">Trong số </w:t>
      </w:r>
      <w:r w:rsidR="00B27F2F">
        <w:t>5</w:t>
      </w:r>
      <w:r w:rsidR="002851B2">
        <w:t>7</w:t>
      </w:r>
      <w:r>
        <w:t xml:space="preserve"> tỉnh công bố Quyết toán ngân sách tỉnh năm 201</w:t>
      </w:r>
      <w:r w:rsidR="003B0A41">
        <w:t>8</w:t>
      </w:r>
      <w:r>
        <w:t xml:space="preserve">, có </w:t>
      </w:r>
      <w:r w:rsidR="00E97139">
        <w:t>4</w:t>
      </w:r>
      <w:r w:rsidR="00E0522B">
        <w:t>6</w:t>
      </w:r>
      <w:r>
        <w:t xml:space="preserve"> tỉnh (tương đương </w:t>
      </w:r>
      <w:r w:rsidR="00505AAF">
        <w:t>7</w:t>
      </w:r>
      <w:r w:rsidR="00E0522B">
        <w:t>3</w:t>
      </w:r>
      <w:r w:rsidR="00505AAF">
        <w:t>.</w:t>
      </w:r>
      <w:r w:rsidR="00E0522B">
        <w:t>0</w:t>
      </w:r>
      <w:r w:rsidR="00505AAF">
        <w:t>2</w:t>
      </w:r>
      <w:r>
        <w:t xml:space="preserve">%) phản ánh đầy đủ 07 bảng biểu theo quy định của Thông tư 343, có </w:t>
      </w:r>
      <w:r w:rsidR="000C4605">
        <w:t>9</w:t>
      </w:r>
      <w:r>
        <w:t xml:space="preserve"> tỉnh phản ánh từ 03 đến 05 biểu (tương đương </w:t>
      </w:r>
      <w:r w:rsidR="00B20055">
        <w:t>14.29</w:t>
      </w:r>
      <w:r>
        <w:t>%) và chỉ có 2 tỉnh (tương đương 3.2%) phản ánh dưới 03 biểu.</w:t>
      </w:r>
    </w:p>
    <w:p w14:paraId="37F66511" w14:textId="08FC0078" w:rsidR="003604DF" w:rsidRDefault="003604DF" w:rsidP="003604DF">
      <w:pPr>
        <w:pStyle w:val="BodyText"/>
      </w:pPr>
      <w:r>
        <w:t>Tài liệu Quyết toán ngân sách tỉnh theo quy định của Thông tư 343 gồm 07 bảng biểu, từ biểu số 62 đến biểu số 68. Khảo sát POBI 201</w:t>
      </w:r>
      <w:r w:rsidR="003B3721">
        <w:t>8</w:t>
      </w:r>
      <w:r>
        <w:t xml:space="preserve"> tiến hành chấm điểm đầy đủ trong việc công khai nội dung của các bảng biểu số 62 – Biểu về cân đối ngân sách địa phương </w:t>
      </w:r>
      <w:r>
        <w:lastRenderedPageBreak/>
        <w:t>năm 201</w:t>
      </w:r>
      <w:r w:rsidR="00CC7A38">
        <w:t>8</w:t>
      </w:r>
      <w:r>
        <w:t>, biểu số 63 – Biểu về Quyết toán thu NSNN năm 201</w:t>
      </w:r>
      <w:r w:rsidR="00CC7A38">
        <w:t>8</w:t>
      </w:r>
      <w:r>
        <w:t xml:space="preserve"> và biểu số 65 – Biểu về Quyết toán chi ngân sách cấp tỉnh theo từng lĩnh vực năm 201</w:t>
      </w:r>
      <w:r w:rsidR="00CC7A38">
        <w:t>8</w:t>
      </w:r>
      <w:r>
        <w:t>.</w:t>
      </w:r>
    </w:p>
    <w:p w14:paraId="0DC79B92" w14:textId="7E807AA0" w:rsidR="00F55E8F" w:rsidRDefault="00F55E8F" w:rsidP="00100FB8">
      <w:pPr>
        <w:pStyle w:val="Caption"/>
        <w:keepNext/>
      </w:pPr>
      <w:r>
        <w:t xml:space="preserve">Hình </w:t>
      </w:r>
      <w:r w:rsidR="002E3AAA">
        <w:fldChar w:fldCharType="begin"/>
      </w:r>
      <w:r w:rsidR="002E3AAA">
        <w:instrText xml:space="preserve"> SEQ Hình \* ARABIC </w:instrText>
      </w:r>
      <w:r w:rsidR="002E3AAA">
        <w:fldChar w:fldCharType="separate"/>
      </w:r>
      <w:r w:rsidR="0067281F">
        <w:rPr>
          <w:noProof/>
        </w:rPr>
        <w:t>25</w:t>
      </w:r>
      <w:r w:rsidR="002E3AAA">
        <w:rPr>
          <w:noProof/>
        </w:rPr>
        <w:fldChar w:fldCharType="end"/>
      </w:r>
      <w:r>
        <w:t xml:space="preserve">: </w:t>
      </w:r>
      <w:r w:rsidRPr="00F55E8F">
        <w:rPr>
          <w:lang w:val="vi-VN"/>
        </w:rPr>
        <w:t>Số tỉnh công bố tài liệu quyết toán ngân sách tỉnh năm 2018 phân theo mức độ đẩy đủ số lượng các bảng biểu</w:t>
      </w:r>
    </w:p>
    <w:p w14:paraId="775AE614" w14:textId="601F2373" w:rsidR="00F55E8F" w:rsidRDefault="00664B2A" w:rsidP="00100FB8">
      <w:pPr>
        <w:pStyle w:val="BodyText"/>
        <w:jc w:val="center"/>
      </w:pPr>
      <w:r>
        <w:rPr>
          <w:noProof/>
        </w:rPr>
        <w:drawing>
          <wp:inline distT="0" distB="0" distL="0" distR="0" wp14:anchorId="259FE006" wp14:editId="10CB3BB0">
            <wp:extent cx="4108450" cy="2317750"/>
            <wp:effectExtent l="0" t="0" r="6350" b="6350"/>
            <wp:docPr id="52" name="Chart 52">
              <a:extLst xmlns:a="http://schemas.openxmlformats.org/drawingml/2006/main">
                <a:ext uri="{FF2B5EF4-FFF2-40B4-BE49-F238E27FC236}">
                  <a16:creationId xmlns:a16="http://schemas.microsoft.com/office/drawing/2014/main" id="{00000000-0008-0000-02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2900616" w14:textId="49707170" w:rsidR="003604DF" w:rsidRDefault="003604DF" w:rsidP="003604DF">
      <w:pPr>
        <w:pStyle w:val="BodyText"/>
      </w:pPr>
      <w:r>
        <w:t>Đối với biểu số 62 – Biểu Cân đối ngân sách địa phương năm 201</w:t>
      </w:r>
      <w:r w:rsidR="009B6FF2">
        <w:t>8</w:t>
      </w:r>
      <w:r>
        <w:t xml:space="preserve">, </w:t>
      </w:r>
      <w:r w:rsidR="00962714">
        <w:t>43</w:t>
      </w:r>
      <w:r>
        <w:t xml:space="preserve"> tỉnh (tương đương </w:t>
      </w:r>
      <w:r w:rsidR="00962714">
        <w:t>68.25</w:t>
      </w:r>
      <w:r>
        <w:t xml:space="preserve">%) phản ánh đầy đủ cả 6 mục lớn và các mục nhỏ theo quy định, </w:t>
      </w:r>
      <w:r w:rsidR="006B4F77">
        <w:t>7</w:t>
      </w:r>
      <w:r>
        <w:t xml:space="preserve"> tỉnh (tương đương </w:t>
      </w:r>
      <w:r w:rsidR="006B4F77">
        <w:t>11</w:t>
      </w:r>
      <w:r>
        <w:t>.</w:t>
      </w:r>
      <w:r w:rsidR="006B4F77">
        <w:t>11</w:t>
      </w:r>
      <w:r>
        <w:t xml:space="preserve">%) phản ánh đầy đủ cả 6 mục lớn nhưng không chi tiết các mục nhỏ, </w:t>
      </w:r>
      <w:r w:rsidR="00962714">
        <w:t>7</w:t>
      </w:r>
      <w:r>
        <w:t xml:space="preserve"> tỉnh (tương đương </w:t>
      </w:r>
      <w:r w:rsidR="00F65C72">
        <w:t>11.11</w:t>
      </w:r>
      <w:r>
        <w:t>%) không phản ánh đầy đủ cả 6 mục lớn theo quy định.</w:t>
      </w:r>
    </w:p>
    <w:p w14:paraId="6A46235A" w14:textId="5A67278F" w:rsidR="003604DF" w:rsidRDefault="003604DF" w:rsidP="003604DF">
      <w:pPr>
        <w:pStyle w:val="BodyText"/>
      </w:pPr>
      <w:r>
        <w:t>Đối với biểu số 63 – Biểu Quyết toán thu NSNN năm 201</w:t>
      </w:r>
      <w:r w:rsidR="0050299B">
        <w:t>8</w:t>
      </w:r>
      <w:r>
        <w:t xml:space="preserve">, có </w:t>
      </w:r>
      <w:r w:rsidR="008F23A5">
        <w:t>31</w:t>
      </w:r>
      <w:r>
        <w:t xml:space="preserve"> tỉnh (tương đương </w:t>
      </w:r>
      <w:r w:rsidR="00A72BC9">
        <w:t>49.2</w:t>
      </w:r>
      <w:r w:rsidR="00E34DEF">
        <w:t>1</w:t>
      </w:r>
      <w:r>
        <w:t xml:space="preserve">%) phản ánh cụ thể các nguồn thu cấu thành toàn bộ khoản thu nội địa gồm 18 mục nhỏ và chi tiết theo từng loại thuế. </w:t>
      </w:r>
      <w:r w:rsidR="008F23A5">
        <w:t>1</w:t>
      </w:r>
      <w:r w:rsidR="00080A46">
        <w:t>6</w:t>
      </w:r>
      <w:r>
        <w:t xml:space="preserve"> tỉnh (tương đương </w:t>
      </w:r>
      <w:r w:rsidR="00961CA3">
        <w:t>2</w:t>
      </w:r>
      <w:r w:rsidR="00080A46">
        <w:t>5</w:t>
      </w:r>
      <w:r w:rsidR="00961CA3">
        <w:t>.</w:t>
      </w:r>
      <w:r w:rsidR="00080A46">
        <w:t>4</w:t>
      </w:r>
      <w:r>
        <w:t xml:space="preserve">%) phản ánh các nguồn thu cụ thể cấu thành toàn bộ khoản thu nội địa gồm 18 nhóm thu nhỏ và không chi tiết theo từng loại thuế. Có </w:t>
      </w:r>
      <w:r w:rsidR="008F23A5">
        <w:t>7</w:t>
      </w:r>
      <w:r>
        <w:t xml:space="preserve"> tỉnh (tương đương </w:t>
      </w:r>
      <w:r w:rsidR="00071645">
        <w:t>11.11</w:t>
      </w:r>
      <w:r>
        <w:t xml:space="preserve">%) phản ánh các nguồn thu nội địa cụ thể song ít hơn 18 mục nhỏ theo quy định và ít nhất 1 mục lớn. Chỉ có </w:t>
      </w:r>
      <w:r w:rsidR="008F23A5">
        <w:t>3</w:t>
      </w:r>
      <w:r>
        <w:t xml:space="preserve"> tỉnh (tương đương </w:t>
      </w:r>
      <w:r w:rsidR="00D16574">
        <w:t>4.76</w:t>
      </w:r>
      <w:r>
        <w:t xml:space="preserve">%) không phản ánh các nguồn thu nội địa cụ thể. </w:t>
      </w:r>
    </w:p>
    <w:p w14:paraId="1FC717BB" w14:textId="01FD453F" w:rsidR="003604DF" w:rsidRDefault="003604DF" w:rsidP="003604DF">
      <w:pPr>
        <w:pStyle w:val="BodyText"/>
      </w:pPr>
      <w:r>
        <w:t>Đối với biểu số 65 – Biểu Quyết toán chi ngân sách cấp tỉnh theo từng lĩnh vực năm 201</w:t>
      </w:r>
      <w:r w:rsidR="0050299B">
        <w:t>8</w:t>
      </w:r>
      <w:r>
        <w:t xml:space="preserve">, </w:t>
      </w:r>
      <w:r w:rsidR="00AA79C3">
        <w:t>50</w:t>
      </w:r>
      <w:r>
        <w:t xml:space="preserve"> tỉnh (tương đương </w:t>
      </w:r>
      <w:r w:rsidR="00895242">
        <w:t>7</w:t>
      </w:r>
      <w:r w:rsidR="00AA79C3">
        <w:t>9</w:t>
      </w:r>
      <w:r w:rsidR="00895242">
        <w:t>.</w:t>
      </w:r>
      <w:r w:rsidR="00AA79C3">
        <w:t>37</w:t>
      </w:r>
      <w:r>
        <w:t xml:space="preserve">%) phản ánh đầy đủ 3 mục lớn và các mục nhỏ. Có </w:t>
      </w:r>
      <w:r w:rsidR="00FE1CDC">
        <w:t>3</w:t>
      </w:r>
      <w:r>
        <w:t xml:space="preserve"> tỉnh (tương đương </w:t>
      </w:r>
      <w:r w:rsidR="00FE1CDC">
        <w:t>3</w:t>
      </w:r>
      <w:r w:rsidR="00ED7CBA">
        <w:t>.</w:t>
      </w:r>
      <w:r w:rsidR="00FE1CDC">
        <w:t>76</w:t>
      </w:r>
      <w:r>
        <w:t xml:space="preserve">%) phản ánh đầy đủ 3 mục lớn, nhưng không chi tiết các mục nhỏ. Có </w:t>
      </w:r>
      <w:r w:rsidR="00173582">
        <w:t>4</w:t>
      </w:r>
      <w:r>
        <w:t xml:space="preserve"> tỉnh (tương đương </w:t>
      </w:r>
      <w:r w:rsidR="00173582">
        <w:t>4</w:t>
      </w:r>
      <w:r>
        <w:t>.</w:t>
      </w:r>
      <w:r w:rsidR="00173582">
        <w:t>35</w:t>
      </w:r>
      <w:r>
        <w:t>%) có phản ánh nhưng không đầy đủ theo quy định</w:t>
      </w:r>
      <w:r w:rsidR="00F60C62">
        <w:t>.</w:t>
      </w:r>
    </w:p>
    <w:p w14:paraId="1B4BB8ED" w14:textId="004DDC7D" w:rsidR="00E30B1A" w:rsidRDefault="00E30B1A" w:rsidP="000931F7">
      <w:pPr>
        <w:pStyle w:val="BodyText"/>
      </w:pPr>
      <w:r>
        <w:t xml:space="preserve">POBI 2019 là năm đầu tiên chấm điểm tiêu chí về tính đáng tin cậy </w:t>
      </w:r>
      <w:r w:rsidR="00627481">
        <w:t xml:space="preserve">đối với </w:t>
      </w:r>
      <w:r w:rsidR="009A1322">
        <w:t xml:space="preserve">chênh lệch về </w:t>
      </w:r>
      <w:r w:rsidR="000931F7">
        <w:t>các nội dung về các khoản thu/chi ngân sách: chấm điểm cho đối với cả 4 mục lớn:</w:t>
      </w:r>
      <w:r w:rsidR="009A1322">
        <w:t xml:space="preserve"> (i) Thu ngân sách địa phương, phản ánh trong </w:t>
      </w:r>
      <w:r w:rsidR="009A1322" w:rsidRPr="009A1322">
        <w:rPr>
          <w:i/>
          <w:iCs/>
        </w:rPr>
        <w:t>Mục A.1 Biểu 62 Thông tư 343</w:t>
      </w:r>
      <w:r w:rsidR="009A1322">
        <w:t>;</w:t>
      </w:r>
      <w:r w:rsidR="000931F7">
        <w:t xml:space="preserve"> (i</w:t>
      </w:r>
      <w:r w:rsidR="00FA1301">
        <w:t>i</w:t>
      </w:r>
      <w:r w:rsidR="000931F7">
        <w:t xml:space="preserve">) </w:t>
      </w:r>
      <w:r w:rsidR="009A1322">
        <w:t>Chi cân đối ngân sách địa phương năm 2018</w:t>
      </w:r>
      <w:r w:rsidR="000931F7">
        <w:t xml:space="preserve">, phản ánh trong </w:t>
      </w:r>
      <w:r w:rsidR="009A1322" w:rsidRPr="009A1322">
        <w:rPr>
          <w:i/>
          <w:iCs/>
        </w:rPr>
        <w:t>Mục B.I Biểu 62 Thông tư 343</w:t>
      </w:r>
      <w:r w:rsidR="000931F7">
        <w:t xml:space="preserve">; </w:t>
      </w:r>
      <w:r w:rsidR="000931F7">
        <w:lastRenderedPageBreak/>
        <w:t>(</w:t>
      </w:r>
      <w:r w:rsidR="00FA1301">
        <w:t>ii</w:t>
      </w:r>
      <w:r w:rsidR="000931F7">
        <w:t xml:space="preserve">i) </w:t>
      </w:r>
      <w:r w:rsidR="00FA1301">
        <w:t>Chi đầu tư phát triển</w:t>
      </w:r>
      <w:r w:rsidR="000931F7">
        <w:t xml:space="preserve">, phản ánh trong </w:t>
      </w:r>
      <w:r w:rsidR="00FA1301" w:rsidRPr="00FA1301">
        <w:rPr>
          <w:i/>
          <w:iCs/>
        </w:rPr>
        <w:t>Mục B.I.1 Biểu 62 Thông tư 343</w:t>
      </w:r>
      <w:r w:rsidR="00FA1301">
        <w:t xml:space="preserve">; </w:t>
      </w:r>
      <w:r w:rsidR="000931F7">
        <w:t>(i</w:t>
      </w:r>
      <w:r w:rsidR="00FA1301">
        <w:t>v</w:t>
      </w:r>
      <w:r w:rsidR="000931F7">
        <w:t xml:space="preserve">) </w:t>
      </w:r>
      <w:r w:rsidR="00B17A7E">
        <w:t>C</w:t>
      </w:r>
      <w:r w:rsidR="000931F7">
        <w:t xml:space="preserve">hi </w:t>
      </w:r>
      <w:r w:rsidR="00B17A7E">
        <w:t>thường xuyên</w:t>
      </w:r>
      <w:r w:rsidR="000931F7">
        <w:t xml:space="preserve">, phản ánh trong </w:t>
      </w:r>
      <w:r w:rsidR="00B17A7E" w:rsidRPr="00B17A7E">
        <w:rPr>
          <w:i/>
          <w:iCs/>
        </w:rPr>
        <w:t>Mục B.I.2 Biểu 62 Thông tư 343</w:t>
      </w:r>
      <w:r w:rsidR="000931F7">
        <w:t>.</w:t>
      </w:r>
      <w:r w:rsidR="00D66508">
        <w:t xml:space="preserve"> Kết quả cụ thể như sau:</w:t>
      </w:r>
    </w:p>
    <w:p w14:paraId="4C3AA8C9" w14:textId="7FF38F94" w:rsidR="00D66508" w:rsidRDefault="00D66508" w:rsidP="00D66508">
      <w:pPr>
        <w:pStyle w:val="BodyText"/>
        <w:numPr>
          <w:ilvl w:val="0"/>
          <w:numId w:val="16"/>
        </w:numPr>
      </w:pPr>
      <w:r>
        <w:t xml:space="preserve">Đối với dự toán thu ngân sách: </w:t>
      </w:r>
      <w:r w:rsidR="005234C8">
        <w:t xml:space="preserve">Có 10 </w:t>
      </w:r>
      <w:r w:rsidR="00594AA8">
        <w:t>tỉnh</w:t>
      </w:r>
      <w:r w:rsidR="005234C8">
        <w:t xml:space="preserve"> </w:t>
      </w:r>
      <w:r w:rsidR="00412A81">
        <w:t xml:space="preserve">lập dự toán </w:t>
      </w:r>
      <w:r w:rsidR="005234C8">
        <w:t>tương đối chính xác về thu ngân sách</w:t>
      </w:r>
      <w:r w:rsidR="00412A81">
        <w:t xml:space="preserve"> tỉnh năm 2018,</w:t>
      </w:r>
      <w:r w:rsidR="005234C8">
        <w:t xml:space="preserve"> chênh lệch giữa dự toán được duyệt với quyết toán ngân sách 2018 chỉ nằm trong khoảng 5%. Có 11 </w:t>
      </w:r>
      <w:r w:rsidR="00594AA8">
        <w:t xml:space="preserve">tỉnh </w:t>
      </w:r>
      <w:r w:rsidR="005234C8">
        <w:t xml:space="preserve">phản ánh số thu dự toán chênh lệch từ 5% đến dưới 10% so với tổng quyết toán thu NSĐP. Có 8 </w:t>
      </w:r>
      <w:r w:rsidR="00594AA8">
        <w:t xml:space="preserve">tỉnh </w:t>
      </w:r>
      <w:r w:rsidR="005234C8">
        <w:t>phản ánh số thu dự toán chênh lệch từ 10% đến dưới 15% so với tổng quyết toán thu NSĐP. Có 2</w:t>
      </w:r>
      <w:r w:rsidR="00957B3C">
        <w:t>8</w:t>
      </w:r>
      <w:r w:rsidR="005234C8">
        <w:t xml:space="preserve"> </w:t>
      </w:r>
      <w:r w:rsidR="00594AA8">
        <w:t>tỉnh</w:t>
      </w:r>
      <w:r w:rsidR="005234C8">
        <w:t xml:space="preserve"> phản ánh số thu dự toán chênh lệch 15% trở lên so với tổng quyết toán thu NSĐP hoặc con số trùng khớp tuyệt đối nên không đáng tin cậy.</w:t>
      </w:r>
    </w:p>
    <w:p w14:paraId="3EBEFF74" w14:textId="0DAB5910" w:rsidR="00D66508" w:rsidRDefault="00D66508" w:rsidP="00906490">
      <w:pPr>
        <w:pStyle w:val="BodyText"/>
        <w:numPr>
          <w:ilvl w:val="0"/>
          <w:numId w:val="16"/>
        </w:numPr>
      </w:pPr>
      <w:r>
        <w:t xml:space="preserve">Đối với dự toán </w:t>
      </w:r>
      <w:r w:rsidR="00857999">
        <w:t>chi cân đối ngân sách địa phương</w:t>
      </w:r>
      <w:r>
        <w:t xml:space="preserve">: </w:t>
      </w:r>
      <w:r w:rsidR="00906490">
        <w:t>Có 1</w:t>
      </w:r>
      <w:r w:rsidR="00C473DD">
        <w:t>6</w:t>
      </w:r>
      <w:r w:rsidR="00906490">
        <w:t xml:space="preserve"> </w:t>
      </w:r>
      <w:r w:rsidR="00594AA8">
        <w:t xml:space="preserve">tỉnh </w:t>
      </w:r>
      <w:r w:rsidR="00412A81">
        <w:t xml:space="preserve">lập dự toán </w:t>
      </w:r>
      <w:r w:rsidR="00906490">
        <w:t xml:space="preserve">tương đối chính xác về </w:t>
      </w:r>
      <w:r w:rsidR="009D6B66">
        <w:t xml:space="preserve">khoản </w:t>
      </w:r>
      <w:r w:rsidR="00857999">
        <w:t>chi cân đối ngân sách địa phương</w:t>
      </w:r>
      <w:r w:rsidR="00906490">
        <w:t>, chênh lệch giữa Dự thảo dự toán được duyệt với quyết toán ngân sách 2018 chỉ nằm trong khoảng 5%. Có 1</w:t>
      </w:r>
      <w:r w:rsidR="00EB2BFE">
        <w:t>5</w:t>
      </w:r>
      <w:r w:rsidR="00906490">
        <w:t xml:space="preserve"> </w:t>
      </w:r>
      <w:r w:rsidR="00594AA8">
        <w:t>tỉnh</w:t>
      </w:r>
      <w:r w:rsidR="00906490">
        <w:t xml:space="preserve"> phản ánh số </w:t>
      </w:r>
      <w:r w:rsidR="008B62FD">
        <w:t xml:space="preserve">chi </w:t>
      </w:r>
      <w:r w:rsidR="00906490">
        <w:t xml:space="preserve">dự toán chênh lệch từ 5% đến dưới 10% so với quyết toán </w:t>
      </w:r>
      <w:r w:rsidR="00857999">
        <w:t>chi cân đối ngân sách địa phương</w:t>
      </w:r>
      <w:r w:rsidR="00906490">
        <w:t xml:space="preserve">. Có </w:t>
      </w:r>
      <w:r w:rsidR="003E47BA">
        <w:t>11</w:t>
      </w:r>
      <w:r w:rsidR="00906490">
        <w:t xml:space="preserve"> </w:t>
      </w:r>
      <w:r w:rsidR="00594AA8">
        <w:t>tỉnh</w:t>
      </w:r>
      <w:r w:rsidR="00906490">
        <w:t xml:space="preserve"> phản ánh số </w:t>
      </w:r>
      <w:r w:rsidR="008B62FD">
        <w:t xml:space="preserve">chi </w:t>
      </w:r>
      <w:r w:rsidR="00906490">
        <w:t xml:space="preserve">dự toán chênh lệch từ 10% đến dưới 15% so với quyết toán </w:t>
      </w:r>
      <w:r w:rsidR="00857999">
        <w:t>chi cân đối ngân sách địa phương</w:t>
      </w:r>
      <w:r w:rsidR="00906490">
        <w:t xml:space="preserve">. Có </w:t>
      </w:r>
      <w:r w:rsidR="00B36BC5">
        <w:t>15</w:t>
      </w:r>
      <w:r w:rsidR="00906490">
        <w:t xml:space="preserve"> </w:t>
      </w:r>
      <w:r w:rsidR="00594AA8">
        <w:t xml:space="preserve">tỉnh </w:t>
      </w:r>
      <w:r w:rsidR="00906490">
        <w:t xml:space="preserve">phản ánh số </w:t>
      </w:r>
      <w:r w:rsidR="0029245C">
        <w:t>chi</w:t>
      </w:r>
      <w:r w:rsidR="00906490">
        <w:t xml:space="preserve"> dự toán chênh lệch 15% trở lên so với quyết toán </w:t>
      </w:r>
      <w:r w:rsidR="00857999">
        <w:t xml:space="preserve">chi cân đối ngân sách địa phương </w:t>
      </w:r>
      <w:r w:rsidR="00906490">
        <w:t>hoặc con số trùng khớp tuyệt đối nên không đáng tin cậy.</w:t>
      </w:r>
    </w:p>
    <w:p w14:paraId="2B282E40" w14:textId="12148E7E" w:rsidR="00D66508" w:rsidRDefault="00D66508" w:rsidP="000777DC">
      <w:pPr>
        <w:pStyle w:val="BodyText"/>
        <w:numPr>
          <w:ilvl w:val="0"/>
          <w:numId w:val="16"/>
        </w:numPr>
      </w:pPr>
      <w:r>
        <w:t xml:space="preserve">Đối với dự toán </w:t>
      </w:r>
      <w:r w:rsidR="00AB4DDF">
        <w:t>chi đầu tư phát triển</w:t>
      </w:r>
      <w:r>
        <w:t xml:space="preserve">: </w:t>
      </w:r>
      <w:r w:rsidR="000777DC">
        <w:t xml:space="preserve">Có </w:t>
      </w:r>
      <w:r w:rsidR="00554E09">
        <w:t>8</w:t>
      </w:r>
      <w:r w:rsidR="000777DC">
        <w:t xml:space="preserve"> </w:t>
      </w:r>
      <w:r w:rsidR="00594AA8">
        <w:t xml:space="preserve">tỉnh </w:t>
      </w:r>
      <w:r w:rsidR="00412A81">
        <w:t xml:space="preserve">lập dự toán </w:t>
      </w:r>
      <w:r w:rsidR="000777DC">
        <w:t xml:space="preserve">tương đối chính xác về khoản </w:t>
      </w:r>
      <w:r w:rsidR="00AB4DDF">
        <w:t>chi đầu tư phát triển</w:t>
      </w:r>
      <w:r w:rsidR="000777DC">
        <w:t xml:space="preserve">, chênh lệch giữa Dự thảo dự toán được duyệt với quyết toán ngân sách 2018 chỉ nằm trong khoảng 5%. Có </w:t>
      </w:r>
      <w:r w:rsidR="00554E09">
        <w:t>3</w:t>
      </w:r>
      <w:r w:rsidR="000777DC">
        <w:t xml:space="preserve"> </w:t>
      </w:r>
      <w:r w:rsidR="00594AA8">
        <w:t>tỉnh</w:t>
      </w:r>
      <w:r w:rsidR="000777DC">
        <w:t xml:space="preserve"> phản ánh số </w:t>
      </w:r>
      <w:r w:rsidR="00465945">
        <w:t xml:space="preserve">chi </w:t>
      </w:r>
      <w:r w:rsidR="000777DC">
        <w:t xml:space="preserve">dự toán chênh lệch từ 5% đến dưới 10% so với quyết toán </w:t>
      </w:r>
      <w:r w:rsidR="00AB4DDF">
        <w:t>chi đầu tư phát triển</w:t>
      </w:r>
      <w:r w:rsidR="000777DC">
        <w:t xml:space="preserve">. Có </w:t>
      </w:r>
      <w:r w:rsidR="00554E09">
        <w:t>4</w:t>
      </w:r>
      <w:r w:rsidR="000777DC">
        <w:t xml:space="preserve"> </w:t>
      </w:r>
      <w:r w:rsidR="00594AA8">
        <w:t xml:space="preserve">tỉnh </w:t>
      </w:r>
      <w:r w:rsidR="000777DC">
        <w:t xml:space="preserve">phản ánh số </w:t>
      </w:r>
      <w:r w:rsidR="00465945">
        <w:t>chi</w:t>
      </w:r>
      <w:r w:rsidR="000777DC">
        <w:t xml:space="preserve"> dự toán chênh lệch từ 10% đến dưới 15% so với quyết toán </w:t>
      </w:r>
      <w:r w:rsidR="00AB4DDF">
        <w:t>chi đầu tư phát triển</w:t>
      </w:r>
      <w:r w:rsidR="000777DC">
        <w:t xml:space="preserve">. Có </w:t>
      </w:r>
      <w:r w:rsidR="00554E09">
        <w:t>4</w:t>
      </w:r>
      <w:r w:rsidR="00E44DE3">
        <w:t>2</w:t>
      </w:r>
      <w:r w:rsidR="000777DC">
        <w:t xml:space="preserve"> </w:t>
      </w:r>
      <w:r w:rsidR="00594AA8">
        <w:t>tỉnh</w:t>
      </w:r>
      <w:r w:rsidR="000777DC">
        <w:t xml:space="preserve"> phản ánh số </w:t>
      </w:r>
      <w:r w:rsidR="00465945">
        <w:t xml:space="preserve">chi </w:t>
      </w:r>
      <w:r w:rsidR="000777DC">
        <w:t xml:space="preserve">dự toán chênh lệch 15% trở lên so với quyết toán </w:t>
      </w:r>
      <w:r w:rsidR="00AB4DDF">
        <w:t xml:space="preserve">chi đầu tư phát triển </w:t>
      </w:r>
      <w:r w:rsidR="000777DC">
        <w:t>hoặc con số trùng khớp tuyệt đối nên không đáng tin cậy.</w:t>
      </w:r>
    </w:p>
    <w:p w14:paraId="46104E73" w14:textId="0532BBEF" w:rsidR="00D66508" w:rsidRDefault="00D66508" w:rsidP="00897D5E">
      <w:pPr>
        <w:pStyle w:val="BodyText"/>
        <w:numPr>
          <w:ilvl w:val="0"/>
          <w:numId w:val="16"/>
        </w:numPr>
      </w:pPr>
      <w:r>
        <w:t xml:space="preserve">Đối với dự toán </w:t>
      </w:r>
      <w:r w:rsidR="00375FDD">
        <w:t>chi thường xuyên</w:t>
      </w:r>
      <w:r>
        <w:t xml:space="preserve">: </w:t>
      </w:r>
      <w:r w:rsidR="00897D5E">
        <w:t xml:space="preserve">Có </w:t>
      </w:r>
      <w:r w:rsidR="00D06447">
        <w:t>29</w:t>
      </w:r>
      <w:r w:rsidR="00897D5E">
        <w:t xml:space="preserve"> tỉnh </w:t>
      </w:r>
      <w:r w:rsidR="00412A81">
        <w:t>lập dự toán</w:t>
      </w:r>
      <w:r w:rsidR="00897D5E">
        <w:t xml:space="preserve"> tương đối chính xác về khoản </w:t>
      </w:r>
      <w:r w:rsidR="00375FDD">
        <w:t>chi thường xuyên</w:t>
      </w:r>
      <w:r w:rsidR="00897D5E">
        <w:t xml:space="preserve">, chênh lệch giữa Dự thảo dự toán được duyệt với quyết toán ngân sách 2018 chỉ nằm trong khoảng 5%. Có </w:t>
      </w:r>
      <w:r w:rsidR="00F43516">
        <w:t>20</w:t>
      </w:r>
      <w:r w:rsidR="00897D5E">
        <w:t xml:space="preserve"> tỉnh phản ánh số </w:t>
      </w:r>
      <w:r w:rsidR="00F81E2E">
        <w:t xml:space="preserve">chi </w:t>
      </w:r>
      <w:r w:rsidR="00897D5E">
        <w:t xml:space="preserve">dự toán chênh lệch từ 5% đến dưới 10% so với quyết toán chi ngân sách từ </w:t>
      </w:r>
      <w:r w:rsidR="00375FDD">
        <w:t>chi thường xuyên</w:t>
      </w:r>
      <w:r w:rsidR="00897D5E">
        <w:t xml:space="preserve">. Có </w:t>
      </w:r>
      <w:r w:rsidR="0062636D">
        <w:t>2</w:t>
      </w:r>
      <w:r w:rsidR="00897D5E">
        <w:t xml:space="preserve"> tỉnh phản ánh số </w:t>
      </w:r>
      <w:r w:rsidR="00F81E2E">
        <w:t>chi</w:t>
      </w:r>
      <w:r w:rsidR="00897D5E">
        <w:t xml:space="preserve"> dự toán chênh lệch từ 10% đến dưới 15% so với quyết toán </w:t>
      </w:r>
      <w:r w:rsidR="00375FDD">
        <w:t>chi thường xuyên</w:t>
      </w:r>
      <w:r w:rsidR="00897D5E">
        <w:t xml:space="preserve">. Có </w:t>
      </w:r>
      <w:r w:rsidR="0062636D">
        <w:t>6</w:t>
      </w:r>
      <w:r w:rsidR="00897D5E">
        <w:t xml:space="preserve"> tỉnh phản ánh số </w:t>
      </w:r>
      <w:r w:rsidR="00F81E2E">
        <w:t xml:space="preserve">chi </w:t>
      </w:r>
      <w:r w:rsidR="00897D5E">
        <w:t xml:space="preserve">dự toán chênh </w:t>
      </w:r>
      <w:r w:rsidR="00897D5E">
        <w:lastRenderedPageBreak/>
        <w:t xml:space="preserve">lệch 15% trở lên so với quyết toán </w:t>
      </w:r>
      <w:r w:rsidR="00F14726">
        <w:t>chi thường xuyên</w:t>
      </w:r>
      <w:r w:rsidR="00897D5E">
        <w:t xml:space="preserve"> hoặc con số trùng khớp tuyệt đối nên không đáng tin cậy.</w:t>
      </w:r>
    </w:p>
    <w:p w14:paraId="33E617DB" w14:textId="77777777" w:rsidR="003604DF" w:rsidRDefault="003604DF" w:rsidP="003604DF">
      <w:pPr>
        <w:pStyle w:val="Heading3"/>
        <w:numPr>
          <w:ilvl w:val="0"/>
          <w:numId w:val="15"/>
        </w:numPr>
      </w:pPr>
      <w:bookmarkStart w:id="37" w:name="báo-cáo-ngân-sách-dành-cho-công-dân"/>
      <w:r>
        <w:t>Báo cáo ngân sách dành cho công dân</w:t>
      </w:r>
      <w:bookmarkEnd w:id="37"/>
    </w:p>
    <w:p w14:paraId="1D2E0BDF" w14:textId="5C19EFEC" w:rsidR="003604DF" w:rsidRDefault="003604DF" w:rsidP="00A82939">
      <w:pPr>
        <w:pStyle w:val="FirstParagraph"/>
      </w:pPr>
      <w:bookmarkStart w:id="38" w:name="_Hlk44944981"/>
      <w:r>
        <w:t>Báo cáo ngân sách công dân là tài liệu</w:t>
      </w:r>
      <w:r w:rsidR="008A0F3C">
        <w:t xml:space="preserve"> không bắt buộc công khai theo Luật NSNN 2015, nhưng cần phải công khai theo thông lệ tốt của quốc tế. Số lượng các tỉnh công bố báo cáo ngân sách công dân tăng từ 1 tỉnh trong kỳ khảo sát 2018 lên 14 tỉnh trong POBI2019. Các tỉnh có công bố báo cáo ngân sách công dân trong khảo sát POBI2019, bao gồm </w:t>
      </w:r>
      <w:r w:rsidR="00A82939">
        <w:t>Vĩnh Phúc, Vĩnh Long, Thanh Hóa, Tây Ninh, Quảng Trị, Quảng Ninh, Quảng Nam, Hải Phòng, Hải Dương, Hà Giang, Đà Nẵng, Bình Dương, Hà Nội, và</w:t>
      </w:r>
      <w:r w:rsidR="008A0F3C">
        <w:t xml:space="preserve"> </w:t>
      </w:r>
      <w:r w:rsidR="00A82939">
        <w:t>Bà Rịa - Vũng Tàu.</w:t>
      </w:r>
      <w:r w:rsidR="008A0F3C">
        <w:t xml:space="preserve"> Kết quả này cho thấy, các tỉnh đã có nỗ lực công khai ngân sách theo như đúng quy định của Việt Nam mà có thể công khai theo như thông lệ tốt của quốc tế.</w:t>
      </w:r>
      <w:bookmarkEnd w:id="38"/>
    </w:p>
    <w:p w14:paraId="22CAED13" w14:textId="0BBA2FA7" w:rsidR="006F51EC" w:rsidRDefault="0097035B" w:rsidP="002906C7">
      <w:pPr>
        <w:pStyle w:val="FirstParagraph"/>
      </w:pPr>
      <w:r>
        <w:t xml:space="preserve">Trong số các tỉnh có công khai báo cáo ngân sách dành cho công dân, có </w:t>
      </w:r>
      <w:r w:rsidR="0051042B">
        <w:t>10</w:t>
      </w:r>
      <w:r>
        <w:t xml:space="preserve"> tỉnh công khai t</w:t>
      </w:r>
      <w:r w:rsidRPr="0097035B">
        <w:t>rong vòng 30 ngày sau khi HĐND cấp tỉnh ban hành Nghị quyết</w:t>
      </w:r>
      <w:r w:rsidR="00D10AC2">
        <w:t>. Có duy nhất 1 tỉnh công khai trong khoảng từ 31 đến 60 ngày. Không có tỉnh nào công khai</w:t>
      </w:r>
      <w:r w:rsidR="004D3AB9">
        <w:t xml:space="preserve"> quá muộn, tuy nhiên có 3 tỉnh không xác định được rõ ngày công khai tài liệu.</w:t>
      </w:r>
    </w:p>
    <w:p w14:paraId="0A8A1F4A" w14:textId="6A160554" w:rsidR="003604DF" w:rsidRDefault="003604DF" w:rsidP="003604DF">
      <w:pPr>
        <w:pStyle w:val="Heading3"/>
        <w:numPr>
          <w:ilvl w:val="0"/>
          <w:numId w:val="15"/>
        </w:numPr>
      </w:pPr>
      <w:bookmarkStart w:id="39" w:name="Xc9d40862b152840a908562915dac6afe7d28ac6"/>
      <w:r>
        <w:t xml:space="preserve">Danh mục dự án đầu tư công và </w:t>
      </w:r>
      <w:r w:rsidR="00553060">
        <w:t>Báo cáo t</w:t>
      </w:r>
      <w:r>
        <w:t>ình hình nợ công của tỉnh</w:t>
      </w:r>
      <w:bookmarkEnd w:id="39"/>
    </w:p>
    <w:p w14:paraId="761F3268" w14:textId="04B8EAB9" w:rsidR="009F7F1B" w:rsidRDefault="005C52CC" w:rsidP="003604DF">
      <w:pPr>
        <w:pStyle w:val="FirstParagraph"/>
      </w:pPr>
      <w:bookmarkStart w:id="40" w:name="_Hlk44944994"/>
      <w:r>
        <w:t>Danh mục dự án đầu tư công</w:t>
      </w:r>
      <w:r w:rsidR="002F65CD">
        <w:t xml:space="preserve"> </w:t>
      </w:r>
      <w:r w:rsidR="003604DF">
        <w:t xml:space="preserve">là tài liệu được các tỉnh </w:t>
      </w:r>
      <w:r w:rsidR="00553060">
        <w:t xml:space="preserve">công khai </w:t>
      </w:r>
      <w:r w:rsidR="003604DF">
        <w:t>tương đối đầy đủ với</w:t>
      </w:r>
      <w:r w:rsidR="00AB4E2C">
        <w:t xml:space="preserve"> </w:t>
      </w:r>
      <w:r w:rsidR="005D14D8">
        <w:t>50</w:t>
      </w:r>
      <w:r w:rsidR="00AB4E2C">
        <w:t xml:space="preserve"> tỉnh công khai (</w:t>
      </w:r>
      <w:r w:rsidR="00CF0932">
        <w:t xml:space="preserve">tương đương với </w:t>
      </w:r>
      <w:r w:rsidR="00DE2999">
        <w:t>7</w:t>
      </w:r>
      <w:r w:rsidR="005D14D8">
        <w:t>9</w:t>
      </w:r>
      <w:r w:rsidR="00CF0932">
        <w:t>.</w:t>
      </w:r>
      <w:r w:rsidR="005D14D8">
        <w:t>37</w:t>
      </w:r>
      <w:r w:rsidR="00CF0932">
        <w:t>%</w:t>
      </w:r>
      <w:r w:rsidR="00AB4E2C">
        <w:t>)</w:t>
      </w:r>
      <w:r w:rsidR="005D1A84">
        <w:t>,</w:t>
      </w:r>
      <w:r w:rsidR="00AB4E2C">
        <w:t xml:space="preserve"> </w:t>
      </w:r>
      <w:r w:rsidR="00F6126F">
        <w:t>cao</w:t>
      </w:r>
      <w:r w:rsidR="00AB4E2C">
        <w:t xml:space="preserve"> hơn so với POBI 2018</w:t>
      </w:r>
      <w:r w:rsidR="003604DF">
        <w:t xml:space="preserve"> </w:t>
      </w:r>
      <w:r w:rsidR="00AB4E2C">
        <w:t xml:space="preserve">(với </w:t>
      </w:r>
      <w:r w:rsidR="003604DF">
        <w:t>46</w:t>
      </w:r>
      <w:r w:rsidR="00AB4E2C">
        <w:t xml:space="preserve"> </w:t>
      </w:r>
      <w:r w:rsidR="003604DF">
        <w:t>tỉnh thành công bố loại tài liệu này</w:t>
      </w:r>
      <w:r w:rsidR="00AB4E2C">
        <w:t>)</w:t>
      </w:r>
      <w:r w:rsidR="003604DF">
        <w:t xml:space="preserve">. </w:t>
      </w:r>
      <w:r w:rsidR="009F7F1B">
        <w:t xml:space="preserve">Trong số đó, có 26 tỉnh (tương đương với 41.27%) công khai ở định dạng word/excel, thuận tiện cho việc sử dụng. Có 3 đơn vị công bố tài liệu ở định dạng PDF nhưng có thể chuyển hóa được thành word/excel. Có 21 đơn vị công bố tài liệu ở định dạng PDF scan, không thuận tiện cho việc sử dụng. </w:t>
      </w:r>
    </w:p>
    <w:p w14:paraId="6FDF12FA" w14:textId="3CB490AE" w:rsidR="003604DF" w:rsidRDefault="003604DF" w:rsidP="003604DF">
      <w:pPr>
        <w:pStyle w:val="FirstParagraph"/>
      </w:pPr>
      <w:r>
        <w:t>Trong số đó, có 2</w:t>
      </w:r>
      <w:r w:rsidR="00891859">
        <w:t>5</w:t>
      </w:r>
      <w:r>
        <w:t xml:space="preserve"> tỉnh (tương đương </w:t>
      </w:r>
      <w:r w:rsidR="00DE2999">
        <w:t>39</w:t>
      </w:r>
      <w:r>
        <w:t>.</w:t>
      </w:r>
      <w:r w:rsidR="00DE2999">
        <w:t>68</w:t>
      </w:r>
      <w:r>
        <w:t xml:space="preserve">%) công bố tài liệu đi kèm với ngày công khai, </w:t>
      </w:r>
      <w:r w:rsidR="00891859">
        <w:t>3</w:t>
      </w:r>
      <w:r>
        <w:t xml:space="preserve"> tỉnh (tương đương </w:t>
      </w:r>
      <w:r w:rsidR="00DF6A46">
        <w:t>4.76</w:t>
      </w:r>
      <w:r>
        <w:t xml:space="preserve">%) </w:t>
      </w:r>
      <w:r w:rsidR="00891859">
        <w:t xml:space="preserve">công khai chậm, và 20 </w:t>
      </w:r>
      <w:r>
        <w:t>tỉnh có công bố tài liệu nhưng không đi kèm với ngày công khai trên cổng thông tin điện tử của UBND tỉnh, HĐND tỉnh và Sở Tài chính tỉnh.</w:t>
      </w:r>
    </w:p>
    <w:p w14:paraId="5BE7EA65" w14:textId="3350FAC7" w:rsidR="003604DF" w:rsidRDefault="003604DF" w:rsidP="003604DF">
      <w:pPr>
        <w:pStyle w:val="BodyText"/>
      </w:pPr>
      <w:r>
        <w:t xml:space="preserve">Ngoài ra, POBI 2018 cũng chấm điểm về việc công khai </w:t>
      </w:r>
      <w:r w:rsidR="005C52CC">
        <w:t xml:space="preserve">Báo cáo tình hình nợ công của tỉnh trong </w:t>
      </w:r>
      <w:r>
        <w:t xml:space="preserve">năm 2019. Có </w:t>
      </w:r>
      <w:r w:rsidR="00090A4A">
        <w:t xml:space="preserve">31 </w:t>
      </w:r>
      <w:r>
        <w:t xml:space="preserve">tỉnh (tương đương </w:t>
      </w:r>
      <w:r w:rsidR="00883EC0">
        <w:t>4</w:t>
      </w:r>
      <w:r w:rsidR="00090A4A">
        <w:t>9</w:t>
      </w:r>
      <w:r w:rsidR="00883EC0">
        <w:t>.</w:t>
      </w:r>
      <w:r w:rsidR="00090A4A">
        <w:t>21</w:t>
      </w:r>
      <w:r>
        <w:t xml:space="preserve">%) công bố tài liệu này. Trong số đó có Trong số đó, </w:t>
      </w:r>
      <w:r w:rsidR="0020284B">
        <w:t xml:space="preserve">có </w:t>
      </w:r>
      <w:r w:rsidR="001B5D94">
        <w:t>28</w:t>
      </w:r>
      <w:r>
        <w:t xml:space="preserve"> tỉnh (tương đương </w:t>
      </w:r>
      <w:r w:rsidR="00F23432">
        <w:t>44</w:t>
      </w:r>
      <w:r w:rsidR="009526B1">
        <w:t>.</w:t>
      </w:r>
      <w:r w:rsidR="00F23432">
        <w:t>44</w:t>
      </w:r>
      <w:r>
        <w:t xml:space="preserve">%) công bố tài liệu đi kèm với ngày công khai, </w:t>
      </w:r>
      <w:r w:rsidR="001B5D94">
        <w:t>3</w:t>
      </w:r>
      <w:r>
        <w:t xml:space="preserve"> tỉnh</w:t>
      </w:r>
      <w:r w:rsidR="002925F2">
        <w:t xml:space="preserve"> còn lại</w:t>
      </w:r>
      <w:r>
        <w:t xml:space="preserve"> (tương đương </w:t>
      </w:r>
      <w:r w:rsidR="007B0239">
        <w:t>4</w:t>
      </w:r>
      <w:r w:rsidR="003356C7">
        <w:t>.</w:t>
      </w:r>
      <w:r w:rsidR="007B0239">
        <w:t>76</w:t>
      </w:r>
      <w:r>
        <w:t xml:space="preserve">%) có công bố tài liệu nhưng không đi kèm </w:t>
      </w:r>
      <w:r>
        <w:lastRenderedPageBreak/>
        <w:t>với ngày công khai trên cổng thông tin điện tử của UBND tỉnh, HĐND tỉnh và Sở Tài chính tỉnh.</w:t>
      </w:r>
      <w:bookmarkEnd w:id="40"/>
    </w:p>
    <w:p w14:paraId="6B17FBFB" w14:textId="77777777" w:rsidR="003604DF" w:rsidRDefault="003604DF" w:rsidP="003604DF">
      <w:pPr>
        <w:pStyle w:val="Heading3"/>
        <w:numPr>
          <w:ilvl w:val="0"/>
          <w:numId w:val="15"/>
        </w:numPr>
      </w:pPr>
      <w:bookmarkStart w:id="41" w:name="X70a9a538663e1296fec21e8e9eb08093b4a44d4"/>
      <w:r>
        <w:t>Công khai các tài liệu không chấm điểm POBI 2019</w:t>
      </w:r>
      <w:bookmarkEnd w:id="41"/>
    </w:p>
    <w:p w14:paraId="122ABD7A" w14:textId="663C7606" w:rsidR="003604DF" w:rsidRDefault="003604DF" w:rsidP="00A80F53">
      <w:pPr>
        <w:pStyle w:val="FirstParagraph"/>
      </w:pPr>
      <w:bookmarkStart w:id="42" w:name="_Hlk44945027"/>
      <w:r>
        <w:t xml:space="preserve">Đối với các tài liệu không tính điểm POBI, loại tài liệu được các tỉnh công khai nhiều nhất là Hướng dẫn xây dựng dự toán ngân sách năm 2019 của tỉnh với </w:t>
      </w:r>
      <w:r w:rsidR="00BC4ED9">
        <w:t>3</w:t>
      </w:r>
      <w:r w:rsidR="00F93A93">
        <w:t>4</w:t>
      </w:r>
      <w:r>
        <w:t xml:space="preserve"> tỉnh công </w:t>
      </w:r>
      <w:r w:rsidR="00877821">
        <w:t>khai</w:t>
      </w:r>
      <w:r>
        <w:t xml:space="preserve">. Chỉ có </w:t>
      </w:r>
      <w:r w:rsidR="00B022A9">
        <w:t>7</w:t>
      </w:r>
      <w:r>
        <w:t xml:space="preserve"> tỉnh (</w:t>
      </w:r>
      <w:r w:rsidR="00A80F53">
        <w:t>Bà Rịa - Vũng Tàu, Lào Cai, Quảng Bình, Quảng Ngãi, Thanh Hóa, Vĩnh Long, vàHà Nam</w:t>
      </w:r>
      <w:r>
        <w:t>) công bố Kết quả kiểm toán ngân sách tỉnh, kết quả thực hiện kiến nghị của Kiểm toán nhà nước năm 2016 hoặc năm 2017.</w:t>
      </w:r>
    </w:p>
    <w:p w14:paraId="1E96BC8F" w14:textId="1B8F2CCB" w:rsidR="003604DF" w:rsidRDefault="003604DF" w:rsidP="00100FB8">
      <w:pPr>
        <w:pStyle w:val="BodyText"/>
      </w:pPr>
      <w:r>
        <w:t>Tổng điểm cho các tài liệu khuyến khích công khai trong POBI 201</w:t>
      </w:r>
      <w:r w:rsidR="00656A9A">
        <w:t>9</w:t>
      </w:r>
      <w:r>
        <w:t xml:space="preserve"> là </w:t>
      </w:r>
      <w:r w:rsidR="005C3D09">
        <w:t>2</w:t>
      </w:r>
      <w:r>
        <w:t xml:space="preserve">00 điểm, tương đương 100 điểm quy đổi. </w:t>
      </w:r>
      <w:r w:rsidR="00456C39">
        <w:t>Vĩnh Long, Thanh Hóa, Lào Cai, và Quảng Bình</w:t>
      </w:r>
      <w:r w:rsidR="009C58A9">
        <w:t xml:space="preserve"> </w:t>
      </w:r>
      <w:r>
        <w:t>là tỉnh đứng đầu danh sách các tỉnh công khai các loại tài liệu khuyến khích với điểm</w:t>
      </w:r>
      <w:r w:rsidR="00456C39">
        <w:t xml:space="preserve"> số tối đa</w:t>
      </w:r>
      <w:r>
        <w:t>.</w:t>
      </w:r>
      <w:bookmarkEnd w:id="42"/>
    </w:p>
    <w:sectPr w:rsidR="003604DF">
      <w:footerReference w:type="even" r:id="rId36"/>
      <w:footerReference w:type="default" r:id="rId37"/>
      <w:pgSz w:w="11906" w:h="16838"/>
      <w:pgMar w:top="1440" w:right="1440" w:bottom="1440" w:left="1440" w:header="0" w:footer="72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C10AC" w14:textId="77777777" w:rsidR="002B2204" w:rsidRDefault="002B2204">
      <w:pPr>
        <w:spacing w:before="0" w:after="0" w:line="240" w:lineRule="auto"/>
      </w:pPr>
      <w:r>
        <w:separator/>
      </w:r>
    </w:p>
  </w:endnote>
  <w:endnote w:type="continuationSeparator" w:id="0">
    <w:p w14:paraId="3658768A" w14:textId="77777777" w:rsidR="002B2204" w:rsidRDefault="002B22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637434"/>
      <w:docPartObj>
        <w:docPartGallery w:val="Page Numbers (Bottom of Page)"/>
        <w:docPartUnique/>
      </w:docPartObj>
    </w:sdtPr>
    <w:sdtEndPr/>
    <w:sdtContent>
      <w:p w14:paraId="20128462" w14:textId="31C18CF6" w:rsidR="00FF664C" w:rsidRDefault="00FF664C">
        <w:pPr>
          <w:pStyle w:val="Footer"/>
        </w:pPr>
        <w:r>
          <w:fldChar w:fldCharType="begin"/>
        </w:r>
        <w:r>
          <w:instrText>PAGE</w:instrText>
        </w:r>
        <w:r>
          <w:fldChar w:fldCharType="separate"/>
        </w:r>
        <w:r w:rsidR="002E3AAA">
          <w:rPr>
            <w:noProof/>
          </w:rPr>
          <w:t>50</w:t>
        </w:r>
        <w:r>
          <w:fldChar w:fldCharType="end"/>
        </w:r>
      </w:p>
      <w:p w14:paraId="016D65D8" w14:textId="77777777" w:rsidR="00FF664C" w:rsidRDefault="002E3AAA">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989531"/>
      <w:docPartObj>
        <w:docPartGallery w:val="Page Numbers (Bottom of Page)"/>
        <w:docPartUnique/>
      </w:docPartObj>
    </w:sdtPr>
    <w:sdtEndPr/>
    <w:sdtContent>
      <w:p w14:paraId="66132C09" w14:textId="2252E21E" w:rsidR="00FF664C" w:rsidRDefault="00FF664C">
        <w:pPr>
          <w:pStyle w:val="Footer"/>
          <w:jc w:val="right"/>
        </w:pPr>
        <w:r>
          <w:fldChar w:fldCharType="begin"/>
        </w:r>
        <w:r>
          <w:instrText>PAGE</w:instrText>
        </w:r>
        <w:r>
          <w:fldChar w:fldCharType="separate"/>
        </w:r>
        <w:r w:rsidR="002E3AAA">
          <w:rPr>
            <w:noProof/>
          </w:rPr>
          <w:t>49</w:t>
        </w:r>
        <w:r>
          <w:fldChar w:fldCharType="end"/>
        </w:r>
      </w:p>
    </w:sdtContent>
  </w:sdt>
  <w:p w14:paraId="088D5267" w14:textId="77777777" w:rsidR="00FF664C" w:rsidRDefault="00FF6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F7A75" w14:textId="77777777" w:rsidR="002B2204" w:rsidRDefault="002B2204">
      <w:r>
        <w:separator/>
      </w:r>
    </w:p>
  </w:footnote>
  <w:footnote w:type="continuationSeparator" w:id="0">
    <w:p w14:paraId="2C999A77" w14:textId="77777777" w:rsidR="002B2204" w:rsidRDefault="002B2204">
      <w:r>
        <w:continuationSeparator/>
      </w:r>
    </w:p>
  </w:footnote>
  <w:footnote w:id="1">
    <w:p w14:paraId="7B8A8AA7" w14:textId="4E078E30" w:rsidR="00FF664C" w:rsidRDefault="00FF664C" w:rsidP="00C51D5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rPr>
        <w:t xml:space="preserve"> </w:t>
      </w:r>
      <w:r>
        <w:rPr>
          <w:color w:val="000000"/>
          <w:sz w:val="20"/>
          <w:szCs w:val="20"/>
        </w:rPr>
        <w:t>Từ ngày 04 đến ngày 06 tháng 02 năm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5ACA876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4AF560A"/>
    <w:multiLevelType w:val="multilevel"/>
    <w:tmpl w:val="EFD668AE"/>
    <w:lvl w:ilvl="0">
      <w:start w:val="1"/>
      <w:numFmt w:val="decimal"/>
      <w:lvlText w:val="%1."/>
      <w:lvlJc w:val="left"/>
      <w:pPr>
        <w:ind w:left="720" w:hanging="360"/>
      </w:pPr>
      <w:rPr>
        <w:u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4E006A0"/>
    <w:multiLevelType w:val="hybridMultilevel"/>
    <w:tmpl w:val="ABC09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466B2"/>
    <w:multiLevelType w:val="multilevel"/>
    <w:tmpl w:val="16C276B8"/>
    <w:lvl w:ilvl="0">
      <w:start w:val="1"/>
      <w:numFmt w:val="decimal"/>
      <w:pStyle w:val="Heading3"/>
      <w:lvlText w:val="%1."/>
      <w:lvlJc w:val="left"/>
      <w:pPr>
        <w:ind w:left="720" w:hanging="360"/>
      </w:pPr>
      <w:rPr>
        <w:u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5586B65"/>
    <w:multiLevelType w:val="hybridMultilevel"/>
    <w:tmpl w:val="B7282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561F3C"/>
    <w:multiLevelType w:val="hybridMultilevel"/>
    <w:tmpl w:val="D8802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315DCA"/>
    <w:multiLevelType w:val="multilevel"/>
    <w:tmpl w:val="C06801D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abstractNumId w:val="3"/>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1"/>
  </w:num>
  <w:num w:numId="1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autoHyphenation/>
  <w:evenAndOddHeaders/>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03B06"/>
    <w:rsid w:val="00010DC4"/>
    <w:rsid w:val="00011C8B"/>
    <w:rsid w:val="00016AC0"/>
    <w:rsid w:val="00024689"/>
    <w:rsid w:val="0002500F"/>
    <w:rsid w:val="000251DB"/>
    <w:rsid w:val="0002738A"/>
    <w:rsid w:val="00030D9D"/>
    <w:rsid w:val="00037482"/>
    <w:rsid w:val="00041DC8"/>
    <w:rsid w:val="00042449"/>
    <w:rsid w:val="00042DFF"/>
    <w:rsid w:val="00043633"/>
    <w:rsid w:val="0004599A"/>
    <w:rsid w:val="000552C1"/>
    <w:rsid w:val="00055C29"/>
    <w:rsid w:val="00056944"/>
    <w:rsid w:val="000619D3"/>
    <w:rsid w:val="00065024"/>
    <w:rsid w:val="00070CDC"/>
    <w:rsid w:val="00071645"/>
    <w:rsid w:val="000738C7"/>
    <w:rsid w:val="000777DC"/>
    <w:rsid w:val="00080A46"/>
    <w:rsid w:val="000868BD"/>
    <w:rsid w:val="0009082D"/>
    <w:rsid w:val="00090A4A"/>
    <w:rsid w:val="000931F7"/>
    <w:rsid w:val="000A1FD4"/>
    <w:rsid w:val="000B0EAF"/>
    <w:rsid w:val="000B1A9C"/>
    <w:rsid w:val="000B758E"/>
    <w:rsid w:val="000C4605"/>
    <w:rsid w:val="000C59A3"/>
    <w:rsid w:val="000C6A50"/>
    <w:rsid w:val="000C7F6C"/>
    <w:rsid w:val="000D226D"/>
    <w:rsid w:val="000D3CBB"/>
    <w:rsid w:val="000D4677"/>
    <w:rsid w:val="000E00A1"/>
    <w:rsid w:val="000E242D"/>
    <w:rsid w:val="000E6C8C"/>
    <w:rsid w:val="000E7FB8"/>
    <w:rsid w:val="000F1F0E"/>
    <w:rsid w:val="000F55E2"/>
    <w:rsid w:val="00100C67"/>
    <w:rsid w:val="00100FB8"/>
    <w:rsid w:val="00103A88"/>
    <w:rsid w:val="00105361"/>
    <w:rsid w:val="00107B0E"/>
    <w:rsid w:val="00112C95"/>
    <w:rsid w:val="00120B94"/>
    <w:rsid w:val="001251B8"/>
    <w:rsid w:val="001307B7"/>
    <w:rsid w:val="00137592"/>
    <w:rsid w:val="00140B37"/>
    <w:rsid w:val="0014167A"/>
    <w:rsid w:val="00144F3C"/>
    <w:rsid w:val="00147013"/>
    <w:rsid w:val="0015033D"/>
    <w:rsid w:val="001527CF"/>
    <w:rsid w:val="001552F5"/>
    <w:rsid w:val="00155B2C"/>
    <w:rsid w:val="001634F5"/>
    <w:rsid w:val="00170A4D"/>
    <w:rsid w:val="00173582"/>
    <w:rsid w:val="00175440"/>
    <w:rsid w:val="00182872"/>
    <w:rsid w:val="00186BC7"/>
    <w:rsid w:val="0018771E"/>
    <w:rsid w:val="001879AB"/>
    <w:rsid w:val="00190B43"/>
    <w:rsid w:val="001A4E12"/>
    <w:rsid w:val="001A760C"/>
    <w:rsid w:val="001B45A9"/>
    <w:rsid w:val="001B5D94"/>
    <w:rsid w:val="001C5EF2"/>
    <w:rsid w:val="001D0B42"/>
    <w:rsid w:val="001D1037"/>
    <w:rsid w:val="001E0393"/>
    <w:rsid w:val="001E14D2"/>
    <w:rsid w:val="001E644C"/>
    <w:rsid w:val="001F24E5"/>
    <w:rsid w:val="0020124C"/>
    <w:rsid w:val="002026A2"/>
    <w:rsid w:val="0020284B"/>
    <w:rsid w:val="00210A66"/>
    <w:rsid w:val="00210B31"/>
    <w:rsid w:val="00214B32"/>
    <w:rsid w:val="00220513"/>
    <w:rsid w:val="0022709B"/>
    <w:rsid w:val="002321B3"/>
    <w:rsid w:val="00232B4D"/>
    <w:rsid w:val="00233170"/>
    <w:rsid w:val="00235B9B"/>
    <w:rsid w:val="00236D55"/>
    <w:rsid w:val="0024248E"/>
    <w:rsid w:val="002504A2"/>
    <w:rsid w:val="00250FAA"/>
    <w:rsid w:val="00251F9B"/>
    <w:rsid w:val="0025443B"/>
    <w:rsid w:val="00257275"/>
    <w:rsid w:val="00257ACB"/>
    <w:rsid w:val="00263E1D"/>
    <w:rsid w:val="002668FC"/>
    <w:rsid w:val="002709B4"/>
    <w:rsid w:val="00277B02"/>
    <w:rsid w:val="002806D6"/>
    <w:rsid w:val="00283C9B"/>
    <w:rsid w:val="00283FF6"/>
    <w:rsid w:val="002851B2"/>
    <w:rsid w:val="00290628"/>
    <w:rsid w:val="002906C7"/>
    <w:rsid w:val="0029245C"/>
    <w:rsid w:val="002925F2"/>
    <w:rsid w:val="002A4AD2"/>
    <w:rsid w:val="002A566C"/>
    <w:rsid w:val="002A57FE"/>
    <w:rsid w:val="002A7AE1"/>
    <w:rsid w:val="002B14A9"/>
    <w:rsid w:val="002B2204"/>
    <w:rsid w:val="002B3D50"/>
    <w:rsid w:val="002B42CD"/>
    <w:rsid w:val="002C39B6"/>
    <w:rsid w:val="002C750E"/>
    <w:rsid w:val="002D05F3"/>
    <w:rsid w:val="002D6708"/>
    <w:rsid w:val="002E3AAA"/>
    <w:rsid w:val="002E5720"/>
    <w:rsid w:val="002E6E0F"/>
    <w:rsid w:val="002E771A"/>
    <w:rsid w:val="002F0042"/>
    <w:rsid w:val="002F65CD"/>
    <w:rsid w:val="002F7D1A"/>
    <w:rsid w:val="00304C59"/>
    <w:rsid w:val="00306CBB"/>
    <w:rsid w:val="0031219E"/>
    <w:rsid w:val="00312A72"/>
    <w:rsid w:val="003151BE"/>
    <w:rsid w:val="00315AFC"/>
    <w:rsid w:val="00315D3F"/>
    <w:rsid w:val="003220C6"/>
    <w:rsid w:val="00322E43"/>
    <w:rsid w:val="00323193"/>
    <w:rsid w:val="0033108A"/>
    <w:rsid w:val="00331834"/>
    <w:rsid w:val="00332D1D"/>
    <w:rsid w:val="003356C7"/>
    <w:rsid w:val="003414F8"/>
    <w:rsid w:val="003439EE"/>
    <w:rsid w:val="00346205"/>
    <w:rsid w:val="00350B81"/>
    <w:rsid w:val="00352C3B"/>
    <w:rsid w:val="003541CC"/>
    <w:rsid w:val="003565B2"/>
    <w:rsid w:val="003578B0"/>
    <w:rsid w:val="003604DF"/>
    <w:rsid w:val="00360DB8"/>
    <w:rsid w:val="00365CD2"/>
    <w:rsid w:val="00375FDD"/>
    <w:rsid w:val="00377FB2"/>
    <w:rsid w:val="00381B19"/>
    <w:rsid w:val="0038612F"/>
    <w:rsid w:val="003909F9"/>
    <w:rsid w:val="00392D8A"/>
    <w:rsid w:val="003A1513"/>
    <w:rsid w:val="003A5BD0"/>
    <w:rsid w:val="003A5F2F"/>
    <w:rsid w:val="003B07D7"/>
    <w:rsid w:val="003B0A41"/>
    <w:rsid w:val="003B1080"/>
    <w:rsid w:val="003B2416"/>
    <w:rsid w:val="003B3721"/>
    <w:rsid w:val="003B436E"/>
    <w:rsid w:val="003B43C0"/>
    <w:rsid w:val="003B7EB5"/>
    <w:rsid w:val="003C1159"/>
    <w:rsid w:val="003C786B"/>
    <w:rsid w:val="003D4B3A"/>
    <w:rsid w:val="003E0523"/>
    <w:rsid w:val="003E1C1F"/>
    <w:rsid w:val="003E47BA"/>
    <w:rsid w:val="003E5296"/>
    <w:rsid w:val="003E68DD"/>
    <w:rsid w:val="003E69E3"/>
    <w:rsid w:val="003E7034"/>
    <w:rsid w:val="003F34F7"/>
    <w:rsid w:val="003F41C2"/>
    <w:rsid w:val="003F6AE1"/>
    <w:rsid w:val="0040154E"/>
    <w:rsid w:val="00402A1F"/>
    <w:rsid w:val="004111AD"/>
    <w:rsid w:val="00412A81"/>
    <w:rsid w:val="004147BC"/>
    <w:rsid w:val="00416554"/>
    <w:rsid w:val="00433B2D"/>
    <w:rsid w:val="004364AB"/>
    <w:rsid w:val="00445361"/>
    <w:rsid w:val="004469BB"/>
    <w:rsid w:val="00446F53"/>
    <w:rsid w:val="004501FA"/>
    <w:rsid w:val="004506AB"/>
    <w:rsid w:val="0045227F"/>
    <w:rsid w:val="00453CBC"/>
    <w:rsid w:val="00456C39"/>
    <w:rsid w:val="00465945"/>
    <w:rsid w:val="004705F3"/>
    <w:rsid w:val="0047374C"/>
    <w:rsid w:val="004739FB"/>
    <w:rsid w:val="00482738"/>
    <w:rsid w:val="00486DF3"/>
    <w:rsid w:val="00487EAC"/>
    <w:rsid w:val="004954CA"/>
    <w:rsid w:val="004A00DA"/>
    <w:rsid w:val="004B12DE"/>
    <w:rsid w:val="004B7202"/>
    <w:rsid w:val="004C190B"/>
    <w:rsid w:val="004D11DC"/>
    <w:rsid w:val="004D3AB9"/>
    <w:rsid w:val="004D5D00"/>
    <w:rsid w:val="004D62B4"/>
    <w:rsid w:val="004E142E"/>
    <w:rsid w:val="004E29B3"/>
    <w:rsid w:val="004E6BAE"/>
    <w:rsid w:val="004E6C50"/>
    <w:rsid w:val="004F743C"/>
    <w:rsid w:val="0050299B"/>
    <w:rsid w:val="00504E5C"/>
    <w:rsid w:val="00505AAF"/>
    <w:rsid w:val="00507035"/>
    <w:rsid w:val="0051042B"/>
    <w:rsid w:val="005156C6"/>
    <w:rsid w:val="005234C8"/>
    <w:rsid w:val="00526A38"/>
    <w:rsid w:val="0052706A"/>
    <w:rsid w:val="00527521"/>
    <w:rsid w:val="00532303"/>
    <w:rsid w:val="00541FF2"/>
    <w:rsid w:val="00542FAE"/>
    <w:rsid w:val="00543AF8"/>
    <w:rsid w:val="00553060"/>
    <w:rsid w:val="00554E09"/>
    <w:rsid w:val="00556B6F"/>
    <w:rsid w:val="00560F4E"/>
    <w:rsid w:val="00563064"/>
    <w:rsid w:val="00564865"/>
    <w:rsid w:val="00565ACF"/>
    <w:rsid w:val="00567A97"/>
    <w:rsid w:val="005704E6"/>
    <w:rsid w:val="00580A41"/>
    <w:rsid w:val="005832E6"/>
    <w:rsid w:val="00584AE4"/>
    <w:rsid w:val="00584C16"/>
    <w:rsid w:val="00590D07"/>
    <w:rsid w:val="00594AA8"/>
    <w:rsid w:val="00594E87"/>
    <w:rsid w:val="005A10E8"/>
    <w:rsid w:val="005B06F5"/>
    <w:rsid w:val="005B2507"/>
    <w:rsid w:val="005C3D09"/>
    <w:rsid w:val="005C52CC"/>
    <w:rsid w:val="005C72C5"/>
    <w:rsid w:val="005C7C86"/>
    <w:rsid w:val="005D14D8"/>
    <w:rsid w:val="005D1A84"/>
    <w:rsid w:val="005D38A0"/>
    <w:rsid w:val="005D3A4C"/>
    <w:rsid w:val="005E0D1F"/>
    <w:rsid w:val="005E7627"/>
    <w:rsid w:val="005F761A"/>
    <w:rsid w:val="00600E4C"/>
    <w:rsid w:val="0061320C"/>
    <w:rsid w:val="0061469B"/>
    <w:rsid w:val="00621CB9"/>
    <w:rsid w:val="00623A8B"/>
    <w:rsid w:val="00624F48"/>
    <w:rsid w:val="0062538B"/>
    <w:rsid w:val="00625A02"/>
    <w:rsid w:val="0062636D"/>
    <w:rsid w:val="00627481"/>
    <w:rsid w:val="00636544"/>
    <w:rsid w:val="00637E03"/>
    <w:rsid w:val="006437EF"/>
    <w:rsid w:val="006445CD"/>
    <w:rsid w:val="00644615"/>
    <w:rsid w:val="006471B4"/>
    <w:rsid w:val="006513CF"/>
    <w:rsid w:val="00651F3E"/>
    <w:rsid w:val="006530E3"/>
    <w:rsid w:val="00653140"/>
    <w:rsid w:val="00654376"/>
    <w:rsid w:val="00656A9A"/>
    <w:rsid w:val="00664B2A"/>
    <w:rsid w:val="00665821"/>
    <w:rsid w:val="0067281F"/>
    <w:rsid w:val="00673089"/>
    <w:rsid w:val="0068168A"/>
    <w:rsid w:val="00684847"/>
    <w:rsid w:val="00685C51"/>
    <w:rsid w:val="00694DBF"/>
    <w:rsid w:val="00695562"/>
    <w:rsid w:val="006B4F77"/>
    <w:rsid w:val="006C1AC7"/>
    <w:rsid w:val="006D038E"/>
    <w:rsid w:val="006D2D4E"/>
    <w:rsid w:val="006D32DF"/>
    <w:rsid w:val="006E24F8"/>
    <w:rsid w:val="006E730A"/>
    <w:rsid w:val="006F1651"/>
    <w:rsid w:val="006F1D68"/>
    <w:rsid w:val="006F2BE4"/>
    <w:rsid w:val="006F51EC"/>
    <w:rsid w:val="00704408"/>
    <w:rsid w:val="00710C04"/>
    <w:rsid w:val="00713DAF"/>
    <w:rsid w:val="007142D8"/>
    <w:rsid w:val="00715292"/>
    <w:rsid w:val="00717695"/>
    <w:rsid w:val="00721EB0"/>
    <w:rsid w:val="00726FBC"/>
    <w:rsid w:val="0073080D"/>
    <w:rsid w:val="0073099F"/>
    <w:rsid w:val="007322E8"/>
    <w:rsid w:val="0073323C"/>
    <w:rsid w:val="00734C10"/>
    <w:rsid w:val="00735953"/>
    <w:rsid w:val="00736AF8"/>
    <w:rsid w:val="00736B2B"/>
    <w:rsid w:val="00740C48"/>
    <w:rsid w:val="007432B5"/>
    <w:rsid w:val="007502A7"/>
    <w:rsid w:val="007525C9"/>
    <w:rsid w:val="0075280A"/>
    <w:rsid w:val="007540B9"/>
    <w:rsid w:val="00762877"/>
    <w:rsid w:val="00762B58"/>
    <w:rsid w:val="00762BCD"/>
    <w:rsid w:val="00763B51"/>
    <w:rsid w:val="00766122"/>
    <w:rsid w:val="0076622A"/>
    <w:rsid w:val="0076639C"/>
    <w:rsid w:val="007671F3"/>
    <w:rsid w:val="007702E4"/>
    <w:rsid w:val="00772806"/>
    <w:rsid w:val="007737A1"/>
    <w:rsid w:val="00780A76"/>
    <w:rsid w:val="0078352A"/>
    <w:rsid w:val="0078357D"/>
    <w:rsid w:val="00784D58"/>
    <w:rsid w:val="00785B72"/>
    <w:rsid w:val="00786CF5"/>
    <w:rsid w:val="00792CD2"/>
    <w:rsid w:val="00793DDB"/>
    <w:rsid w:val="00794007"/>
    <w:rsid w:val="00794628"/>
    <w:rsid w:val="007A32DE"/>
    <w:rsid w:val="007A4385"/>
    <w:rsid w:val="007A5F0B"/>
    <w:rsid w:val="007B0239"/>
    <w:rsid w:val="007B2FE8"/>
    <w:rsid w:val="007C2129"/>
    <w:rsid w:val="007C5D8A"/>
    <w:rsid w:val="007C6772"/>
    <w:rsid w:val="007D1B07"/>
    <w:rsid w:val="007D1C01"/>
    <w:rsid w:val="007D492F"/>
    <w:rsid w:val="007D56CD"/>
    <w:rsid w:val="007E02F9"/>
    <w:rsid w:val="007E11B0"/>
    <w:rsid w:val="007E20B5"/>
    <w:rsid w:val="007E5C4E"/>
    <w:rsid w:val="007E6B2F"/>
    <w:rsid w:val="007F43EF"/>
    <w:rsid w:val="007F5FE7"/>
    <w:rsid w:val="007F6145"/>
    <w:rsid w:val="007F64D1"/>
    <w:rsid w:val="007F72FB"/>
    <w:rsid w:val="008013B1"/>
    <w:rsid w:val="00807B86"/>
    <w:rsid w:val="0081312B"/>
    <w:rsid w:val="00821CDE"/>
    <w:rsid w:val="00822285"/>
    <w:rsid w:val="00832F1D"/>
    <w:rsid w:val="00841FE5"/>
    <w:rsid w:val="008422AF"/>
    <w:rsid w:val="0085124C"/>
    <w:rsid w:val="00851B92"/>
    <w:rsid w:val="00857999"/>
    <w:rsid w:val="00863274"/>
    <w:rsid w:val="008658C9"/>
    <w:rsid w:val="00867C79"/>
    <w:rsid w:val="0087027E"/>
    <w:rsid w:val="00872E09"/>
    <w:rsid w:val="00876364"/>
    <w:rsid w:val="00876EC5"/>
    <w:rsid w:val="00877821"/>
    <w:rsid w:val="008779DC"/>
    <w:rsid w:val="00880245"/>
    <w:rsid w:val="00883EC0"/>
    <w:rsid w:val="00884A01"/>
    <w:rsid w:val="00887181"/>
    <w:rsid w:val="00887EA6"/>
    <w:rsid w:val="00891859"/>
    <w:rsid w:val="00893637"/>
    <w:rsid w:val="0089429C"/>
    <w:rsid w:val="00895242"/>
    <w:rsid w:val="008957D8"/>
    <w:rsid w:val="00895B5A"/>
    <w:rsid w:val="00897D5E"/>
    <w:rsid w:val="008A05D2"/>
    <w:rsid w:val="008A0F3C"/>
    <w:rsid w:val="008B43C7"/>
    <w:rsid w:val="008B4EC7"/>
    <w:rsid w:val="008B574C"/>
    <w:rsid w:val="008B62FD"/>
    <w:rsid w:val="008C5ED3"/>
    <w:rsid w:val="008D04DA"/>
    <w:rsid w:val="008D6863"/>
    <w:rsid w:val="008E0C69"/>
    <w:rsid w:val="008F23A5"/>
    <w:rsid w:val="008F7B7D"/>
    <w:rsid w:val="00901773"/>
    <w:rsid w:val="00901E24"/>
    <w:rsid w:val="00902523"/>
    <w:rsid w:val="00906490"/>
    <w:rsid w:val="009173BE"/>
    <w:rsid w:val="00921C0A"/>
    <w:rsid w:val="00923F69"/>
    <w:rsid w:val="009265B4"/>
    <w:rsid w:val="009505CA"/>
    <w:rsid w:val="009526B1"/>
    <w:rsid w:val="0095353D"/>
    <w:rsid w:val="00954F6B"/>
    <w:rsid w:val="00957B3C"/>
    <w:rsid w:val="00961CA3"/>
    <w:rsid w:val="00962714"/>
    <w:rsid w:val="0096276F"/>
    <w:rsid w:val="00963936"/>
    <w:rsid w:val="00965A80"/>
    <w:rsid w:val="009662BA"/>
    <w:rsid w:val="00966473"/>
    <w:rsid w:val="00966E13"/>
    <w:rsid w:val="0096774E"/>
    <w:rsid w:val="0097035B"/>
    <w:rsid w:val="00972242"/>
    <w:rsid w:val="0098289C"/>
    <w:rsid w:val="0098395A"/>
    <w:rsid w:val="00984840"/>
    <w:rsid w:val="00993FB4"/>
    <w:rsid w:val="00994D1E"/>
    <w:rsid w:val="00995A33"/>
    <w:rsid w:val="00996527"/>
    <w:rsid w:val="009A023C"/>
    <w:rsid w:val="009A1322"/>
    <w:rsid w:val="009A48BA"/>
    <w:rsid w:val="009A50BF"/>
    <w:rsid w:val="009A5685"/>
    <w:rsid w:val="009B6FF2"/>
    <w:rsid w:val="009C0401"/>
    <w:rsid w:val="009C1E88"/>
    <w:rsid w:val="009C2A54"/>
    <w:rsid w:val="009C45C0"/>
    <w:rsid w:val="009C58A9"/>
    <w:rsid w:val="009C6E63"/>
    <w:rsid w:val="009C71F7"/>
    <w:rsid w:val="009D0776"/>
    <w:rsid w:val="009D5997"/>
    <w:rsid w:val="009D6B66"/>
    <w:rsid w:val="009E1364"/>
    <w:rsid w:val="009E7BDD"/>
    <w:rsid w:val="009F40BA"/>
    <w:rsid w:val="009F7F1B"/>
    <w:rsid w:val="00A009ED"/>
    <w:rsid w:val="00A07458"/>
    <w:rsid w:val="00A132AF"/>
    <w:rsid w:val="00A16F2D"/>
    <w:rsid w:val="00A253F0"/>
    <w:rsid w:val="00A26BBE"/>
    <w:rsid w:val="00A34537"/>
    <w:rsid w:val="00A34BED"/>
    <w:rsid w:val="00A3724B"/>
    <w:rsid w:val="00A46626"/>
    <w:rsid w:val="00A51879"/>
    <w:rsid w:val="00A51B6A"/>
    <w:rsid w:val="00A54038"/>
    <w:rsid w:val="00A54F67"/>
    <w:rsid w:val="00A607E0"/>
    <w:rsid w:val="00A62623"/>
    <w:rsid w:val="00A70966"/>
    <w:rsid w:val="00A71466"/>
    <w:rsid w:val="00A72BC9"/>
    <w:rsid w:val="00A75B3E"/>
    <w:rsid w:val="00A8014F"/>
    <w:rsid w:val="00A80F53"/>
    <w:rsid w:val="00A82939"/>
    <w:rsid w:val="00A83B90"/>
    <w:rsid w:val="00A90759"/>
    <w:rsid w:val="00AA13C7"/>
    <w:rsid w:val="00AA467F"/>
    <w:rsid w:val="00AA79C3"/>
    <w:rsid w:val="00AB0E33"/>
    <w:rsid w:val="00AB2D4F"/>
    <w:rsid w:val="00AB4DDF"/>
    <w:rsid w:val="00AB4E2C"/>
    <w:rsid w:val="00AB5C9D"/>
    <w:rsid w:val="00AC3F3D"/>
    <w:rsid w:val="00AD1A85"/>
    <w:rsid w:val="00AD67B8"/>
    <w:rsid w:val="00AE02CD"/>
    <w:rsid w:val="00AE7F92"/>
    <w:rsid w:val="00AF52F8"/>
    <w:rsid w:val="00B00244"/>
    <w:rsid w:val="00B002D0"/>
    <w:rsid w:val="00B022A9"/>
    <w:rsid w:val="00B026C7"/>
    <w:rsid w:val="00B07741"/>
    <w:rsid w:val="00B16B0D"/>
    <w:rsid w:val="00B17A7E"/>
    <w:rsid w:val="00B20055"/>
    <w:rsid w:val="00B22C34"/>
    <w:rsid w:val="00B270EE"/>
    <w:rsid w:val="00B27F2F"/>
    <w:rsid w:val="00B32647"/>
    <w:rsid w:val="00B33594"/>
    <w:rsid w:val="00B36BC5"/>
    <w:rsid w:val="00B40305"/>
    <w:rsid w:val="00B41DA9"/>
    <w:rsid w:val="00B457BC"/>
    <w:rsid w:val="00B45E2A"/>
    <w:rsid w:val="00B50CB5"/>
    <w:rsid w:val="00B5180F"/>
    <w:rsid w:val="00B55238"/>
    <w:rsid w:val="00B564B0"/>
    <w:rsid w:val="00B612EE"/>
    <w:rsid w:val="00B63F0C"/>
    <w:rsid w:val="00B67E1E"/>
    <w:rsid w:val="00B7100F"/>
    <w:rsid w:val="00B7458C"/>
    <w:rsid w:val="00B86B75"/>
    <w:rsid w:val="00B904FB"/>
    <w:rsid w:val="00B915C8"/>
    <w:rsid w:val="00B92754"/>
    <w:rsid w:val="00BA5DC1"/>
    <w:rsid w:val="00BB6634"/>
    <w:rsid w:val="00BC48D5"/>
    <w:rsid w:val="00BC4ED9"/>
    <w:rsid w:val="00BC5D8D"/>
    <w:rsid w:val="00BD16DF"/>
    <w:rsid w:val="00BD4FA5"/>
    <w:rsid w:val="00C01286"/>
    <w:rsid w:val="00C052CE"/>
    <w:rsid w:val="00C1106A"/>
    <w:rsid w:val="00C11CF5"/>
    <w:rsid w:val="00C12FEE"/>
    <w:rsid w:val="00C13FB7"/>
    <w:rsid w:val="00C1487C"/>
    <w:rsid w:val="00C15A52"/>
    <w:rsid w:val="00C15E96"/>
    <w:rsid w:val="00C17B8D"/>
    <w:rsid w:val="00C24004"/>
    <w:rsid w:val="00C36279"/>
    <w:rsid w:val="00C36A68"/>
    <w:rsid w:val="00C404FE"/>
    <w:rsid w:val="00C424A1"/>
    <w:rsid w:val="00C43E9B"/>
    <w:rsid w:val="00C45E2C"/>
    <w:rsid w:val="00C473DD"/>
    <w:rsid w:val="00C51D58"/>
    <w:rsid w:val="00C573E0"/>
    <w:rsid w:val="00C601F9"/>
    <w:rsid w:val="00C6098C"/>
    <w:rsid w:val="00C64915"/>
    <w:rsid w:val="00C70BE1"/>
    <w:rsid w:val="00C7153C"/>
    <w:rsid w:val="00C735ED"/>
    <w:rsid w:val="00C77A2D"/>
    <w:rsid w:val="00C77B1B"/>
    <w:rsid w:val="00C77E0E"/>
    <w:rsid w:val="00C818D4"/>
    <w:rsid w:val="00C83359"/>
    <w:rsid w:val="00C83EB4"/>
    <w:rsid w:val="00C877A9"/>
    <w:rsid w:val="00C93858"/>
    <w:rsid w:val="00C9645F"/>
    <w:rsid w:val="00C9778E"/>
    <w:rsid w:val="00CA5426"/>
    <w:rsid w:val="00CB5BEB"/>
    <w:rsid w:val="00CC0B02"/>
    <w:rsid w:val="00CC7A38"/>
    <w:rsid w:val="00CD0588"/>
    <w:rsid w:val="00CE201D"/>
    <w:rsid w:val="00CE3C26"/>
    <w:rsid w:val="00CE5ACA"/>
    <w:rsid w:val="00CE79AC"/>
    <w:rsid w:val="00CF0932"/>
    <w:rsid w:val="00CF1FF6"/>
    <w:rsid w:val="00CF6653"/>
    <w:rsid w:val="00CF738D"/>
    <w:rsid w:val="00CF78F2"/>
    <w:rsid w:val="00D04536"/>
    <w:rsid w:val="00D06447"/>
    <w:rsid w:val="00D10333"/>
    <w:rsid w:val="00D10AC2"/>
    <w:rsid w:val="00D16574"/>
    <w:rsid w:val="00D1741D"/>
    <w:rsid w:val="00D22491"/>
    <w:rsid w:val="00D266C9"/>
    <w:rsid w:val="00D3014D"/>
    <w:rsid w:val="00D351C8"/>
    <w:rsid w:val="00D378BB"/>
    <w:rsid w:val="00D42B11"/>
    <w:rsid w:val="00D46CBE"/>
    <w:rsid w:val="00D5430C"/>
    <w:rsid w:val="00D57679"/>
    <w:rsid w:val="00D62190"/>
    <w:rsid w:val="00D6464E"/>
    <w:rsid w:val="00D65DFF"/>
    <w:rsid w:val="00D66508"/>
    <w:rsid w:val="00D6742B"/>
    <w:rsid w:val="00D77F55"/>
    <w:rsid w:val="00D810CE"/>
    <w:rsid w:val="00D828CA"/>
    <w:rsid w:val="00D859CF"/>
    <w:rsid w:val="00D94758"/>
    <w:rsid w:val="00D97D9A"/>
    <w:rsid w:val="00DA1DC3"/>
    <w:rsid w:val="00DA21B0"/>
    <w:rsid w:val="00DA23B8"/>
    <w:rsid w:val="00DB3EC7"/>
    <w:rsid w:val="00DB759B"/>
    <w:rsid w:val="00DC18B5"/>
    <w:rsid w:val="00DC21D8"/>
    <w:rsid w:val="00DD2BA9"/>
    <w:rsid w:val="00DD5DE2"/>
    <w:rsid w:val="00DE0D61"/>
    <w:rsid w:val="00DE2999"/>
    <w:rsid w:val="00DE2DE7"/>
    <w:rsid w:val="00DE6A8C"/>
    <w:rsid w:val="00DF6A46"/>
    <w:rsid w:val="00E022BA"/>
    <w:rsid w:val="00E026F0"/>
    <w:rsid w:val="00E0522B"/>
    <w:rsid w:val="00E06BB0"/>
    <w:rsid w:val="00E1746C"/>
    <w:rsid w:val="00E30B1A"/>
    <w:rsid w:val="00E315A3"/>
    <w:rsid w:val="00E33F7E"/>
    <w:rsid w:val="00E340CF"/>
    <w:rsid w:val="00E34DEF"/>
    <w:rsid w:val="00E3505A"/>
    <w:rsid w:val="00E35C14"/>
    <w:rsid w:val="00E36442"/>
    <w:rsid w:val="00E41C7C"/>
    <w:rsid w:val="00E44DE3"/>
    <w:rsid w:val="00E52542"/>
    <w:rsid w:val="00E67682"/>
    <w:rsid w:val="00E67923"/>
    <w:rsid w:val="00E71F4C"/>
    <w:rsid w:val="00E759FE"/>
    <w:rsid w:val="00E75B26"/>
    <w:rsid w:val="00E77BE2"/>
    <w:rsid w:val="00E92617"/>
    <w:rsid w:val="00E9296E"/>
    <w:rsid w:val="00E97139"/>
    <w:rsid w:val="00EA6A35"/>
    <w:rsid w:val="00EB2BFE"/>
    <w:rsid w:val="00EB3B82"/>
    <w:rsid w:val="00EB58C0"/>
    <w:rsid w:val="00EB617C"/>
    <w:rsid w:val="00EC4314"/>
    <w:rsid w:val="00EC7A3F"/>
    <w:rsid w:val="00ED05BA"/>
    <w:rsid w:val="00ED7CBA"/>
    <w:rsid w:val="00EE28BA"/>
    <w:rsid w:val="00EE44C9"/>
    <w:rsid w:val="00EE484C"/>
    <w:rsid w:val="00F019D7"/>
    <w:rsid w:val="00F1227D"/>
    <w:rsid w:val="00F14726"/>
    <w:rsid w:val="00F20D9C"/>
    <w:rsid w:val="00F21865"/>
    <w:rsid w:val="00F2288D"/>
    <w:rsid w:val="00F229EC"/>
    <w:rsid w:val="00F23432"/>
    <w:rsid w:val="00F24093"/>
    <w:rsid w:val="00F247BF"/>
    <w:rsid w:val="00F34477"/>
    <w:rsid w:val="00F3597B"/>
    <w:rsid w:val="00F374B1"/>
    <w:rsid w:val="00F415BE"/>
    <w:rsid w:val="00F42DBE"/>
    <w:rsid w:val="00F43516"/>
    <w:rsid w:val="00F43BB5"/>
    <w:rsid w:val="00F43CA7"/>
    <w:rsid w:val="00F44331"/>
    <w:rsid w:val="00F45CF4"/>
    <w:rsid w:val="00F47FA7"/>
    <w:rsid w:val="00F55E8F"/>
    <w:rsid w:val="00F60B20"/>
    <w:rsid w:val="00F60C62"/>
    <w:rsid w:val="00F6126F"/>
    <w:rsid w:val="00F65C72"/>
    <w:rsid w:val="00F7229B"/>
    <w:rsid w:val="00F72728"/>
    <w:rsid w:val="00F72B57"/>
    <w:rsid w:val="00F81E2E"/>
    <w:rsid w:val="00F93A93"/>
    <w:rsid w:val="00F94968"/>
    <w:rsid w:val="00FA1301"/>
    <w:rsid w:val="00FA560C"/>
    <w:rsid w:val="00FA5A57"/>
    <w:rsid w:val="00FB5D51"/>
    <w:rsid w:val="00FC32A9"/>
    <w:rsid w:val="00FD0501"/>
    <w:rsid w:val="00FD3741"/>
    <w:rsid w:val="00FD7AFA"/>
    <w:rsid w:val="00FD7BA5"/>
    <w:rsid w:val="00FE1CDC"/>
    <w:rsid w:val="00FE3752"/>
    <w:rsid w:val="00FE5165"/>
    <w:rsid w:val="00FE730E"/>
    <w:rsid w:val="00FF0CBB"/>
    <w:rsid w:val="00FF2F8B"/>
    <w:rsid w:val="00FF4F97"/>
    <w:rsid w:val="00FF5B13"/>
    <w:rsid w:val="00FF664C"/>
    <w:rsid w:val="00FF70D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475B"/>
  <w15:docId w15:val="{18ADFF53-D984-4E50-BD2C-197C42AC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8"/>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41D"/>
    <w:pPr>
      <w:spacing w:before="120" w:after="120" w:line="312" w:lineRule="auto"/>
      <w:jc w:val="both"/>
    </w:pPr>
    <w:rPr>
      <w:sz w:val="26"/>
    </w:rPr>
  </w:style>
  <w:style w:type="paragraph" w:styleId="Heading1">
    <w:name w:val="heading 1"/>
    <w:basedOn w:val="Normal"/>
    <w:next w:val="Normal"/>
    <w:link w:val="Heading1Char"/>
    <w:uiPriority w:val="9"/>
    <w:qFormat/>
    <w:rsid w:val="00DB3829"/>
    <w:pPr>
      <w:keepNext/>
      <w:keepLines/>
      <w:pageBreakBefore/>
      <w:spacing w:before="240" w:after="0"/>
      <w:ind w:left="720" w:hanging="360"/>
      <w:jc w:val="center"/>
      <w:outlineLvl w:val="0"/>
    </w:pPr>
    <w:rPr>
      <w:rFonts w:eastAsiaTheme="majorEastAsia" w:cstheme="majorBidi"/>
      <w:b/>
      <w:caps/>
      <w:color w:val="000000" w:themeColor="text1"/>
      <w:sz w:val="48"/>
      <w:szCs w:val="32"/>
    </w:rPr>
  </w:style>
  <w:style w:type="paragraph" w:styleId="Heading2">
    <w:name w:val="heading 2"/>
    <w:basedOn w:val="Normal"/>
    <w:next w:val="Normal"/>
    <w:link w:val="Heading2Char"/>
    <w:uiPriority w:val="9"/>
    <w:unhideWhenUsed/>
    <w:qFormat/>
    <w:rsid w:val="00745E8C"/>
    <w:pPr>
      <w:keepNext/>
      <w:keepLines/>
      <w:pageBreakBefore/>
      <w:pBdr>
        <w:bottom w:val="thickThinSmallGap" w:sz="24" w:space="1" w:color="4472C4"/>
      </w:pBdr>
      <w:shd w:val="clear" w:color="auto" w:fill="FFFFFF" w:themeFill="background1"/>
      <w:ind w:left="720" w:hanging="360"/>
      <w:jc w:val="center"/>
      <w:outlineLvl w:val="1"/>
    </w:pPr>
    <w:rPr>
      <w:rFonts w:eastAsiaTheme="majorEastAsia" w:cstheme="majorBidi"/>
      <w:b/>
      <w:caps/>
      <w:color w:val="2F5496" w:themeColor="accent1" w:themeShade="BF"/>
      <w:sz w:val="40"/>
      <w:szCs w:val="26"/>
    </w:rPr>
  </w:style>
  <w:style w:type="paragraph" w:styleId="Heading3">
    <w:name w:val="heading 3"/>
    <w:basedOn w:val="Normal"/>
    <w:next w:val="Normal"/>
    <w:link w:val="Heading3Char"/>
    <w:uiPriority w:val="9"/>
    <w:unhideWhenUsed/>
    <w:qFormat/>
    <w:rsid w:val="00745E8C"/>
    <w:pPr>
      <w:keepNext/>
      <w:keepLines/>
      <w:numPr>
        <w:numId w:val="1"/>
      </w:numPr>
      <w:outlineLvl w:val="2"/>
    </w:pPr>
    <w:rPr>
      <w:rFonts w:eastAsiaTheme="majorEastAsia" w:cstheme="majorBidi"/>
      <w:b/>
      <w:color w:val="2F5496" w:themeColor="accent1" w:themeShade="BF"/>
      <w:sz w:val="32"/>
      <w:szCs w:val="24"/>
    </w:rPr>
  </w:style>
  <w:style w:type="paragraph" w:styleId="Heading4">
    <w:name w:val="heading 4"/>
    <w:basedOn w:val="Normal"/>
    <w:next w:val="Normal"/>
    <w:link w:val="Heading4Char"/>
    <w:uiPriority w:val="9"/>
    <w:unhideWhenUsed/>
    <w:qFormat/>
    <w:rsid w:val="00B43FCC"/>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qFormat/>
    <w:rsid w:val="00DA00C2"/>
    <w:rPr>
      <w:rFonts w:ascii="Times New Roman" w:eastAsiaTheme="majorEastAsia" w:hAnsi="Times New Roman" w:cstheme="majorBidi"/>
      <w:b/>
      <w:caps/>
      <w:spacing w:val="-10"/>
      <w:kern w:val="2"/>
      <w:sz w:val="56"/>
      <w:szCs w:val="56"/>
    </w:rPr>
  </w:style>
  <w:style w:type="character" w:customStyle="1" w:styleId="Heading1Char">
    <w:name w:val="Heading 1 Char"/>
    <w:basedOn w:val="DefaultParagraphFont"/>
    <w:link w:val="Heading1"/>
    <w:uiPriority w:val="9"/>
    <w:qFormat/>
    <w:rsid w:val="007B6E8C"/>
    <w:rPr>
      <w:rFonts w:eastAsiaTheme="majorEastAsia" w:cstheme="majorBidi"/>
      <w:b/>
      <w:caps/>
      <w:color w:val="000000" w:themeColor="text1"/>
      <w:sz w:val="48"/>
      <w:szCs w:val="32"/>
    </w:rPr>
  </w:style>
  <w:style w:type="character" w:customStyle="1" w:styleId="Heading2Char">
    <w:name w:val="Heading 2 Char"/>
    <w:basedOn w:val="DefaultParagraphFont"/>
    <w:link w:val="Heading2"/>
    <w:uiPriority w:val="9"/>
    <w:qFormat/>
    <w:rsid w:val="00745E8C"/>
    <w:rPr>
      <w:rFonts w:eastAsiaTheme="majorEastAsia" w:cstheme="majorBidi"/>
      <w:b/>
      <w:caps/>
      <w:color w:val="2F5496" w:themeColor="accent1" w:themeShade="BF"/>
      <w:sz w:val="40"/>
      <w:szCs w:val="26"/>
      <w:shd w:val="clear" w:color="auto" w:fill="FFFFFF" w:themeFill="background1"/>
    </w:rPr>
  </w:style>
  <w:style w:type="character" w:customStyle="1" w:styleId="Heading3Char">
    <w:name w:val="Heading 3 Char"/>
    <w:basedOn w:val="DefaultParagraphFont"/>
    <w:link w:val="Heading3"/>
    <w:uiPriority w:val="9"/>
    <w:qFormat/>
    <w:rsid w:val="00745E8C"/>
    <w:rPr>
      <w:rFonts w:eastAsiaTheme="majorEastAsia" w:cstheme="majorBidi"/>
      <w:b/>
      <w:color w:val="2F5496" w:themeColor="accent1" w:themeShade="BF"/>
      <w:sz w:val="32"/>
      <w:szCs w:val="24"/>
    </w:rPr>
  </w:style>
  <w:style w:type="character" w:customStyle="1" w:styleId="GhichChar">
    <w:name w:val="Ghi chú Char"/>
    <w:basedOn w:val="DefaultParagraphFont"/>
    <w:link w:val="Ghich"/>
    <w:qFormat/>
    <w:rsid w:val="007E6757"/>
    <w:rPr>
      <w:rFonts w:ascii="Times New Roman" w:hAnsi="Times New Roman"/>
      <w:sz w:val="26"/>
      <w:shd w:val="clear" w:color="auto" w:fill="FFC000"/>
    </w:rPr>
  </w:style>
  <w:style w:type="character" w:customStyle="1" w:styleId="PhlcChar">
    <w:name w:val="Phụ lục Char"/>
    <w:basedOn w:val="Heading2Char"/>
    <w:link w:val="Phlc"/>
    <w:qFormat/>
    <w:rsid w:val="00745E8C"/>
    <w:rPr>
      <w:rFonts w:eastAsiaTheme="majorEastAsia" w:cstheme="majorBidi"/>
      <w:b/>
      <w:caps/>
      <w:color w:val="2F5496" w:themeColor="accent1" w:themeShade="BF"/>
      <w:sz w:val="40"/>
      <w:szCs w:val="26"/>
      <w:shd w:val="clear" w:color="auto" w:fill="FFFFFF"/>
    </w:rPr>
  </w:style>
  <w:style w:type="character" w:customStyle="1" w:styleId="Heading4Char">
    <w:name w:val="Heading 4 Char"/>
    <w:basedOn w:val="DefaultParagraphFont"/>
    <w:link w:val="Heading4"/>
    <w:uiPriority w:val="9"/>
    <w:qFormat/>
    <w:rsid w:val="00B43FCC"/>
    <w:rPr>
      <w:rFonts w:ascii="Times New Roman" w:eastAsiaTheme="majorEastAsia" w:hAnsi="Times New Roman" w:cstheme="majorBidi"/>
      <w:b/>
      <w:iCs/>
      <w:sz w:val="26"/>
    </w:rPr>
  </w:style>
  <w:style w:type="character" w:customStyle="1" w:styleId="FootnoteTextChar">
    <w:name w:val="Footnote Text Char"/>
    <w:basedOn w:val="DefaultParagraphFont"/>
    <w:link w:val="FootnoteText"/>
    <w:uiPriority w:val="99"/>
    <w:semiHidden/>
    <w:qFormat/>
    <w:rsid w:val="00AE73A5"/>
    <w:rPr>
      <w:rFonts w:ascii="Times New Roman" w:hAnsi="Times New Roman"/>
      <w:sz w:val="20"/>
      <w:szCs w:val="20"/>
    </w:rPr>
  </w:style>
  <w:style w:type="character" w:styleId="CommentReference">
    <w:name w:val="annotation reference"/>
    <w:basedOn w:val="DefaultParagraphFont"/>
    <w:uiPriority w:val="99"/>
    <w:semiHidden/>
    <w:unhideWhenUsed/>
    <w:qFormat/>
    <w:rsid w:val="00D705F5"/>
    <w:rPr>
      <w:sz w:val="16"/>
      <w:szCs w:val="16"/>
    </w:rPr>
  </w:style>
  <w:style w:type="character" w:customStyle="1" w:styleId="CommentTextChar">
    <w:name w:val="Comment Text Char"/>
    <w:basedOn w:val="DefaultParagraphFont"/>
    <w:link w:val="CommentText"/>
    <w:uiPriority w:val="99"/>
    <w:qFormat/>
    <w:rsid w:val="00D705F5"/>
    <w:rPr>
      <w:rFonts w:ascii="Times New Roman" w:hAnsi="Times New Roman"/>
      <w:sz w:val="20"/>
      <w:szCs w:val="20"/>
    </w:rPr>
  </w:style>
  <w:style w:type="character" w:customStyle="1" w:styleId="CommentSubjectChar">
    <w:name w:val="Comment Subject Char"/>
    <w:basedOn w:val="CommentTextChar"/>
    <w:link w:val="CommentSubject"/>
    <w:uiPriority w:val="99"/>
    <w:semiHidden/>
    <w:qFormat/>
    <w:rsid w:val="00D705F5"/>
    <w:rPr>
      <w:rFonts w:ascii="Times New Roman" w:hAnsi="Times New Roman"/>
      <w:b/>
      <w:bCs/>
      <w:sz w:val="20"/>
      <w:szCs w:val="20"/>
    </w:rPr>
  </w:style>
  <w:style w:type="character" w:customStyle="1" w:styleId="BalloonTextChar">
    <w:name w:val="Balloon Text Char"/>
    <w:basedOn w:val="DefaultParagraphFont"/>
    <w:link w:val="BalloonText"/>
    <w:uiPriority w:val="99"/>
    <w:semiHidden/>
    <w:qFormat/>
    <w:rsid w:val="00D705F5"/>
    <w:rPr>
      <w:rFonts w:ascii="Segoe UI" w:hAnsi="Segoe UI" w:cs="Segoe UI"/>
      <w:sz w:val="18"/>
      <w:szCs w:val="18"/>
    </w:rPr>
  </w:style>
  <w:style w:type="character" w:customStyle="1" w:styleId="HeaderChar">
    <w:name w:val="Header Char"/>
    <w:basedOn w:val="DefaultParagraphFont"/>
    <w:link w:val="Header"/>
    <w:uiPriority w:val="99"/>
    <w:qFormat/>
    <w:rsid w:val="00DB1D87"/>
    <w:rPr>
      <w:rFonts w:ascii="Times New Roman" w:hAnsi="Times New Roman"/>
      <w:sz w:val="28"/>
    </w:rPr>
  </w:style>
  <w:style w:type="character" w:customStyle="1" w:styleId="FooterChar">
    <w:name w:val="Footer Char"/>
    <w:basedOn w:val="DefaultParagraphFont"/>
    <w:link w:val="Footer"/>
    <w:uiPriority w:val="99"/>
    <w:qFormat/>
    <w:rsid w:val="00DB1D87"/>
    <w:rPr>
      <w:rFonts w:ascii="Times New Roman" w:hAnsi="Times New Roman"/>
      <w:sz w:val="28"/>
    </w:rPr>
  </w:style>
  <w:style w:type="character" w:customStyle="1" w:styleId="BodyTextChar">
    <w:name w:val="Body Text Char"/>
    <w:basedOn w:val="DefaultParagraphFont"/>
    <w:link w:val="BodyText"/>
    <w:uiPriority w:val="99"/>
    <w:qFormat/>
    <w:rsid w:val="005D4D42"/>
    <w:rPr>
      <w:rFonts w:eastAsiaTheme="minorHAnsi" w:cstheme="minorBidi"/>
      <w:szCs w:val="22"/>
    </w:rPr>
  </w:style>
  <w:style w:type="character" w:customStyle="1" w:styleId="TitlesinsideeachprovincereportChar">
    <w:name w:val="Titles inside each province report Char"/>
    <w:basedOn w:val="DefaultParagraphFont"/>
    <w:link w:val="Titlesinsideeachprovincereport"/>
    <w:qFormat/>
    <w:rsid w:val="00745E8C"/>
    <w:rPr>
      <w:rFonts w:eastAsiaTheme="minorHAnsi" w:cstheme="minorBidi"/>
      <w:b/>
      <w:color w:val="2F5496" w:themeColor="accent1" w:themeShade="BF"/>
      <w:szCs w:val="22"/>
    </w:rPr>
  </w:style>
  <w:style w:type="character" w:styleId="Hyperlink">
    <w:name w:val="Hyperlink"/>
    <w:basedOn w:val="DefaultParagraphFont"/>
    <w:uiPriority w:val="99"/>
    <w:unhideWhenUsed/>
    <w:rsid w:val="005D4D42"/>
    <w:rPr>
      <w:color w:val="0563C1" w:themeColor="hyperlink"/>
      <w:u w:val="single"/>
    </w:rPr>
  </w:style>
  <w:style w:type="character" w:styleId="FollowedHyperlink">
    <w:name w:val="FollowedHyperlink"/>
    <w:basedOn w:val="DefaultParagraphFont"/>
    <w:uiPriority w:val="99"/>
    <w:semiHidden/>
    <w:unhideWhenUsed/>
    <w:rsid w:val="005D4D42"/>
    <w:rPr>
      <w:color w:val="954F72" w:themeColor="followedHyperlink"/>
      <w:u w:val="single"/>
    </w:rPr>
  </w:style>
  <w:style w:type="character" w:customStyle="1" w:styleId="UnresolvedMention1">
    <w:name w:val="Unresolved Mention1"/>
    <w:basedOn w:val="DefaultParagraphFont"/>
    <w:uiPriority w:val="99"/>
    <w:semiHidden/>
    <w:unhideWhenUsed/>
    <w:qFormat/>
    <w:rsid w:val="00175A66"/>
    <w:rPr>
      <w:color w:val="605E5C"/>
      <w:shd w:val="clear" w:color="auto" w:fill="E1DFDD"/>
    </w:rPr>
  </w:style>
  <w:style w:type="character" w:customStyle="1" w:styleId="tl8wme">
    <w:name w:val="tl8wme"/>
    <w:basedOn w:val="DefaultParagraphFont"/>
    <w:qFormat/>
    <w:rsid w:val="00DA0D98"/>
  </w:style>
  <w:style w:type="character" w:customStyle="1" w:styleId="Heading5Char">
    <w:name w:val="Heading 5 Char"/>
    <w:basedOn w:val="DefaultParagraphFont"/>
    <w:link w:val="Heading5"/>
    <w:uiPriority w:val="9"/>
    <w:semiHidden/>
    <w:qFormat/>
    <w:rsid w:val="008E0858"/>
    <w:rPr>
      <w:b/>
      <w:sz w:val="22"/>
      <w:szCs w:val="22"/>
    </w:rPr>
  </w:style>
  <w:style w:type="character" w:customStyle="1" w:styleId="Heading6Char">
    <w:name w:val="Heading 6 Char"/>
    <w:basedOn w:val="DefaultParagraphFont"/>
    <w:link w:val="Heading6"/>
    <w:uiPriority w:val="9"/>
    <w:semiHidden/>
    <w:qFormat/>
    <w:rsid w:val="008E0858"/>
    <w:rPr>
      <w:b/>
      <w:sz w:val="20"/>
      <w:szCs w:val="20"/>
    </w:rPr>
  </w:style>
  <w:style w:type="character" w:customStyle="1" w:styleId="SubtitleChar">
    <w:name w:val="Subtitle Char"/>
    <w:basedOn w:val="DefaultParagraphFont"/>
    <w:link w:val="Subtitle"/>
    <w:uiPriority w:val="11"/>
    <w:qFormat/>
    <w:rsid w:val="00C83EB4"/>
    <w:rPr>
      <w:rFonts w:ascii="Georgia" w:eastAsia="Georgia" w:hAnsi="Georgia" w:cs="Georgia"/>
      <w:i/>
      <w:color w:val="666666"/>
      <w:sz w:val="28"/>
      <w:szCs w:val="48"/>
    </w:rPr>
  </w:style>
  <w:style w:type="character" w:customStyle="1" w:styleId="FigureNotationChar">
    <w:name w:val="Figure Notation Char"/>
    <w:basedOn w:val="DefaultParagraphFont"/>
    <w:link w:val="FigureNotation"/>
    <w:qFormat/>
    <w:rsid w:val="00597F15"/>
    <w:rPr>
      <w:i/>
      <w:color w:val="000000"/>
      <w:sz w:val="24"/>
      <w:szCs w:val="24"/>
    </w:rPr>
  </w:style>
  <w:style w:type="character" w:customStyle="1" w:styleId="UnresolvedMention2">
    <w:name w:val="Unresolved Mention2"/>
    <w:basedOn w:val="DefaultParagraphFont"/>
    <w:uiPriority w:val="99"/>
    <w:semiHidden/>
    <w:unhideWhenUsed/>
    <w:qFormat/>
    <w:rsid w:val="001E492A"/>
    <w:rPr>
      <w:color w:val="605E5C"/>
      <w:shd w:val="clear" w:color="auto" w:fill="E1DFDD"/>
    </w:rPr>
  </w:style>
  <w:style w:type="character" w:customStyle="1" w:styleId="IndexLink">
    <w:name w:val="Index Link"/>
    <w:qFormat/>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rPr>
  </w:style>
  <w:style w:type="paragraph" w:styleId="BodyText">
    <w:name w:val="Body Text"/>
    <w:basedOn w:val="Normal"/>
    <w:link w:val="BodyTextChar"/>
    <w:uiPriority w:val="99"/>
    <w:unhideWhenUsed/>
    <w:rsid w:val="005D4D42"/>
    <w:rPr>
      <w:rFonts w:eastAsiaTheme="minorHAnsi" w:cstheme="minorBidi"/>
      <w:szCs w:val="22"/>
    </w:rPr>
  </w:style>
  <w:style w:type="paragraph" w:styleId="List">
    <w:name w:val="List"/>
    <w:basedOn w:val="BodyText"/>
    <w:rPr>
      <w:rFonts w:cs="Lohit Devanagari"/>
    </w:rPr>
  </w:style>
  <w:style w:type="paragraph" w:styleId="Caption">
    <w:name w:val="caption"/>
    <w:basedOn w:val="Normal"/>
    <w:next w:val="Normal"/>
    <w:unhideWhenUsed/>
    <w:qFormat/>
    <w:rsid w:val="00597F15"/>
    <w:pPr>
      <w:spacing w:line="240" w:lineRule="auto"/>
      <w:jc w:val="center"/>
    </w:pPr>
    <w:rPr>
      <w:b/>
      <w:iCs/>
      <w:color w:val="000000" w:themeColor="text1"/>
      <w:szCs w:val="18"/>
    </w:rPr>
  </w:style>
  <w:style w:type="paragraph" w:customStyle="1"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DA00C2"/>
    <w:pPr>
      <w:spacing w:after="0" w:line="240" w:lineRule="auto"/>
      <w:contextualSpacing/>
      <w:jc w:val="center"/>
    </w:pPr>
    <w:rPr>
      <w:rFonts w:eastAsiaTheme="majorEastAsia" w:cstheme="majorBidi"/>
      <w:b/>
      <w:caps/>
      <w:spacing w:val="-10"/>
      <w:kern w:val="2"/>
      <w:sz w:val="56"/>
      <w:szCs w:val="56"/>
    </w:rPr>
  </w:style>
  <w:style w:type="paragraph" w:customStyle="1" w:styleId="Ghich">
    <w:name w:val="Ghi chú"/>
    <w:basedOn w:val="Normal"/>
    <w:link w:val="GhichChar"/>
    <w:qFormat/>
    <w:rsid w:val="001225EB"/>
    <w:pPr>
      <w:shd w:val="clear" w:color="auto" w:fill="FFC000" w:themeFill="accent4"/>
    </w:pPr>
  </w:style>
  <w:style w:type="paragraph" w:customStyle="1" w:styleId="Phlc">
    <w:name w:val="Phụ lục"/>
    <w:basedOn w:val="Heading2"/>
    <w:link w:val="PhlcChar"/>
    <w:qFormat/>
    <w:rsid w:val="00745E8C"/>
    <w:pPr>
      <w:shd w:val="clear" w:color="auto" w:fill="FFFFFF"/>
      <w:ind w:left="0" w:firstLine="0"/>
    </w:pPr>
  </w:style>
  <w:style w:type="paragraph" w:styleId="ListParagraph">
    <w:name w:val="List Paragraph"/>
    <w:basedOn w:val="Normal"/>
    <w:uiPriority w:val="34"/>
    <w:qFormat/>
    <w:rsid w:val="002C5B2A"/>
    <w:pPr>
      <w:ind w:left="720"/>
      <w:contextualSpacing/>
    </w:pPr>
  </w:style>
  <w:style w:type="paragraph" w:styleId="FootnoteText">
    <w:name w:val="footnote text"/>
    <w:basedOn w:val="Normal"/>
    <w:link w:val="FootnoteTextChar"/>
    <w:uiPriority w:val="99"/>
    <w:semiHidden/>
    <w:unhideWhenUsed/>
    <w:rsid w:val="00AE73A5"/>
    <w:pPr>
      <w:spacing w:after="0" w:line="240" w:lineRule="auto"/>
    </w:pPr>
    <w:rPr>
      <w:sz w:val="20"/>
      <w:szCs w:val="20"/>
    </w:rPr>
  </w:style>
  <w:style w:type="paragraph" w:styleId="CommentText">
    <w:name w:val="annotation text"/>
    <w:basedOn w:val="Normal"/>
    <w:link w:val="CommentTextChar"/>
    <w:uiPriority w:val="99"/>
    <w:unhideWhenUsed/>
    <w:qFormat/>
    <w:rsid w:val="00D705F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705F5"/>
    <w:rPr>
      <w:b/>
      <w:bCs/>
    </w:rPr>
  </w:style>
  <w:style w:type="paragraph" w:styleId="BalloonText">
    <w:name w:val="Balloon Text"/>
    <w:basedOn w:val="Normal"/>
    <w:link w:val="BalloonTextChar"/>
    <w:uiPriority w:val="99"/>
    <w:semiHidden/>
    <w:unhideWhenUsed/>
    <w:qFormat/>
    <w:rsid w:val="00D705F5"/>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B1D87"/>
    <w:pPr>
      <w:tabs>
        <w:tab w:val="center" w:pos="4680"/>
        <w:tab w:val="right" w:pos="9360"/>
      </w:tabs>
      <w:spacing w:after="0" w:line="240" w:lineRule="auto"/>
    </w:pPr>
  </w:style>
  <w:style w:type="paragraph" w:styleId="Footer">
    <w:name w:val="footer"/>
    <w:basedOn w:val="Normal"/>
    <w:link w:val="FooterChar"/>
    <w:uiPriority w:val="99"/>
    <w:unhideWhenUsed/>
    <w:rsid w:val="00DB1D87"/>
    <w:pPr>
      <w:tabs>
        <w:tab w:val="center" w:pos="4680"/>
        <w:tab w:val="right" w:pos="9360"/>
      </w:tabs>
      <w:spacing w:after="0" w:line="240" w:lineRule="auto"/>
    </w:pPr>
  </w:style>
  <w:style w:type="paragraph" w:styleId="Revision">
    <w:name w:val="Revision"/>
    <w:uiPriority w:val="99"/>
    <w:semiHidden/>
    <w:qFormat/>
    <w:rsid w:val="00036CE9"/>
    <w:pPr>
      <w:jc w:val="both"/>
    </w:pPr>
    <w:rPr>
      <w:sz w:val="26"/>
    </w:rPr>
  </w:style>
  <w:style w:type="paragraph" w:styleId="Subtitle">
    <w:name w:val="Subtitle"/>
    <w:basedOn w:val="Normal"/>
    <w:next w:val="Normal"/>
    <w:link w:val="SubtitleChar"/>
    <w:uiPriority w:val="11"/>
    <w:qFormat/>
    <w:rsid w:val="00C83EB4"/>
    <w:pPr>
      <w:keepNext/>
      <w:keepLines/>
      <w:spacing w:before="360" w:after="80"/>
    </w:pPr>
    <w:rPr>
      <w:rFonts w:ascii="Georgia" w:eastAsia="Georgia" w:hAnsi="Georgia" w:cs="Georgia"/>
      <w:i/>
      <w:color w:val="666666"/>
      <w:sz w:val="28"/>
      <w:szCs w:val="48"/>
    </w:rPr>
  </w:style>
  <w:style w:type="paragraph" w:customStyle="1" w:styleId="FirstParagraph">
    <w:name w:val="First Paragraph"/>
    <w:basedOn w:val="BodyText"/>
    <w:qFormat/>
    <w:rsid w:val="005D4D42"/>
    <w:pPr>
      <w:spacing w:before="180" w:after="180"/>
    </w:pPr>
    <w:rPr>
      <w:rFonts w:eastAsia="Cambria"/>
      <w:color w:val="00000A"/>
      <w:szCs w:val="24"/>
    </w:rPr>
  </w:style>
  <w:style w:type="paragraph" w:customStyle="1" w:styleId="Compact">
    <w:name w:val="Compact"/>
    <w:basedOn w:val="BodyText"/>
    <w:qFormat/>
    <w:rsid w:val="005D4D42"/>
    <w:pPr>
      <w:spacing w:before="36" w:after="36"/>
    </w:pPr>
    <w:rPr>
      <w:rFonts w:eastAsia="Cambria"/>
      <w:color w:val="00000A"/>
      <w:szCs w:val="24"/>
    </w:rPr>
  </w:style>
  <w:style w:type="paragraph" w:customStyle="1" w:styleId="Titlesinsideeachprovincereport">
    <w:name w:val="Titles inside each province report"/>
    <w:basedOn w:val="Normal"/>
    <w:link w:val="TitlesinsideeachprovincereportChar"/>
    <w:qFormat/>
    <w:rsid w:val="00745E8C"/>
    <w:pPr>
      <w:spacing w:after="0"/>
    </w:pPr>
    <w:rPr>
      <w:rFonts w:eastAsiaTheme="minorHAnsi" w:cstheme="minorBidi"/>
      <w:b/>
      <w:color w:val="2F5496" w:themeColor="accent1" w:themeShade="BF"/>
      <w:sz w:val="28"/>
      <w:szCs w:val="22"/>
    </w:rPr>
  </w:style>
  <w:style w:type="paragraph" w:styleId="TOCHeading">
    <w:name w:val="TOC Heading"/>
    <w:basedOn w:val="Heading1"/>
    <w:next w:val="Normal"/>
    <w:uiPriority w:val="39"/>
    <w:unhideWhenUsed/>
    <w:qFormat/>
    <w:rsid w:val="00175A66"/>
    <w:pPr>
      <w:pageBreakBefore w:val="0"/>
      <w:spacing w:line="259" w:lineRule="auto"/>
      <w:ind w:left="0" w:firstLine="0"/>
      <w:jc w:val="left"/>
    </w:pPr>
    <w:rPr>
      <w:rFonts w:asciiTheme="majorHAnsi" w:hAnsiTheme="majorHAnsi"/>
      <w:b w:val="0"/>
      <w:caps w:val="0"/>
      <w:color w:val="2F5496" w:themeColor="accent1" w:themeShade="BF"/>
      <w:sz w:val="32"/>
    </w:rPr>
  </w:style>
  <w:style w:type="paragraph" w:styleId="TOC2">
    <w:name w:val="toc 2"/>
    <w:basedOn w:val="Normal"/>
    <w:next w:val="Normal"/>
    <w:autoRedefine/>
    <w:uiPriority w:val="39"/>
    <w:unhideWhenUsed/>
    <w:rsid w:val="00C90E34"/>
    <w:pPr>
      <w:tabs>
        <w:tab w:val="left" w:pos="1540"/>
        <w:tab w:val="right" w:leader="dot" w:pos="9350"/>
      </w:tabs>
      <w:spacing w:after="100"/>
      <w:ind w:left="260"/>
    </w:pPr>
    <w:rPr>
      <w:rFonts w:eastAsiaTheme="majorEastAsia"/>
      <w:b/>
      <w:bCs/>
    </w:rPr>
  </w:style>
  <w:style w:type="paragraph" w:styleId="TOC1">
    <w:name w:val="toc 1"/>
    <w:basedOn w:val="Normal"/>
    <w:next w:val="Normal"/>
    <w:autoRedefine/>
    <w:uiPriority w:val="39"/>
    <w:unhideWhenUsed/>
    <w:rsid w:val="00C90E34"/>
    <w:pPr>
      <w:tabs>
        <w:tab w:val="left" w:pos="1320"/>
        <w:tab w:val="right" w:leader="dot" w:pos="9350"/>
      </w:tabs>
      <w:spacing w:after="100"/>
    </w:pPr>
    <w:rPr>
      <w:rFonts w:eastAsiaTheme="majorEastAsia"/>
      <w:b/>
      <w:bCs/>
    </w:rPr>
  </w:style>
  <w:style w:type="paragraph" w:styleId="TOC3">
    <w:name w:val="toc 3"/>
    <w:basedOn w:val="Normal"/>
    <w:next w:val="Normal"/>
    <w:autoRedefine/>
    <w:uiPriority w:val="39"/>
    <w:unhideWhenUsed/>
    <w:rsid w:val="00175A66"/>
    <w:pPr>
      <w:spacing w:after="100"/>
      <w:ind w:left="520"/>
    </w:pPr>
  </w:style>
  <w:style w:type="paragraph" w:styleId="TOC4">
    <w:name w:val="toc 4"/>
    <w:basedOn w:val="Normal"/>
    <w:next w:val="Normal"/>
    <w:autoRedefine/>
    <w:uiPriority w:val="39"/>
    <w:unhideWhenUsed/>
    <w:rsid w:val="00175A66"/>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75A66"/>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75A66"/>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75A66"/>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75A66"/>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75A66"/>
    <w:pPr>
      <w:spacing w:after="100" w:line="259" w:lineRule="auto"/>
      <w:ind w:left="1760"/>
      <w:jc w:val="left"/>
    </w:pPr>
    <w:rPr>
      <w:rFonts w:asciiTheme="minorHAnsi" w:eastAsiaTheme="minorEastAsia" w:hAnsiTheme="minorHAnsi" w:cstheme="minorBidi"/>
      <w:sz w:val="22"/>
      <w:szCs w:val="22"/>
    </w:rPr>
  </w:style>
  <w:style w:type="paragraph" w:customStyle="1" w:styleId="FigureNotation">
    <w:name w:val="Figure Notation"/>
    <w:basedOn w:val="Normal"/>
    <w:link w:val="FigureNotationChar"/>
    <w:qFormat/>
    <w:rsid w:val="00597F15"/>
    <w:pPr>
      <w:spacing w:before="0" w:line="240" w:lineRule="auto"/>
      <w:jc w:val="right"/>
    </w:pPr>
    <w:rPr>
      <w:i/>
      <w:color w:val="000000"/>
      <w:sz w:val="24"/>
      <w:szCs w:val="24"/>
    </w:rPr>
  </w:style>
  <w:style w:type="paragraph" w:styleId="TableofFigures">
    <w:name w:val="table of figures"/>
    <w:basedOn w:val="Normal"/>
    <w:next w:val="Normal"/>
    <w:uiPriority w:val="99"/>
    <w:unhideWhenUsed/>
    <w:qFormat/>
    <w:rsid w:val="000D544C"/>
    <w:pPr>
      <w:spacing w:after="0"/>
    </w:pPr>
  </w:style>
  <w:style w:type="paragraph" w:customStyle="1" w:styleId="FrameContents">
    <w:name w:val="Frame Contents"/>
    <w:basedOn w:val="Normal"/>
    <w:qFormat/>
  </w:style>
  <w:style w:type="table" w:styleId="TableGrid">
    <w:name w:val="Table Grid"/>
    <w:basedOn w:val="TableNormal"/>
    <w:uiPriority w:val="39"/>
    <w:rsid w:val="004E2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C760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2619E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000000"/>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color w:val="0000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color w:val="000000"/>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C4A000"/>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5887">
      <w:bodyDiv w:val="1"/>
      <w:marLeft w:val="0"/>
      <w:marRight w:val="0"/>
      <w:marTop w:val="0"/>
      <w:marBottom w:val="0"/>
      <w:divBdr>
        <w:top w:val="none" w:sz="0" w:space="0" w:color="auto"/>
        <w:left w:val="none" w:sz="0" w:space="0" w:color="auto"/>
        <w:bottom w:val="none" w:sz="0" w:space="0" w:color="auto"/>
        <w:right w:val="none" w:sz="0" w:space="0" w:color="auto"/>
      </w:divBdr>
    </w:div>
    <w:div w:id="8996650">
      <w:bodyDiv w:val="1"/>
      <w:marLeft w:val="0"/>
      <w:marRight w:val="0"/>
      <w:marTop w:val="0"/>
      <w:marBottom w:val="0"/>
      <w:divBdr>
        <w:top w:val="none" w:sz="0" w:space="0" w:color="auto"/>
        <w:left w:val="none" w:sz="0" w:space="0" w:color="auto"/>
        <w:bottom w:val="none" w:sz="0" w:space="0" w:color="auto"/>
        <w:right w:val="none" w:sz="0" w:space="0" w:color="auto"/>
      </w:divBdr>
    </w:div>
    <w:div w:id="23291200">
      <w:bodyDiv w:val="1"/>
      <w:marLeft w:val="0"/>
      <w:marRight w:val="0"/>
      <w:marTop w:val="0"/>
      <w:marBottom w:val="0"/>
      <w:divBdr>
        <w:top w:val="none" w:sz="0" w:space="0" w:color="auto"/>
        <w:left w:val="none" w:sz="0" w:space="0" w:color="auto"/>
        <w:bottom w:val="none" w:sz="0" w:space="0" w:color="auto"/>
        <w:right w:val="none" w:sz="0" w:space="0" w:color="auto"/>
      </w:divBdr>
    </w:div>
    <w:div w:id="30768988">
      <w:bodyDiv w:val="1"/>
      <w:marLeft w:val="0"/>
      <w:marRight w:val="0"/>
      <w:marTop w:val="0"/>
      <w:marBottom w:val="0"/>
      <w:divBdr>
        <w:top w:val="none" w:sz="0" w:space="0" w:color="auto"/>
        <w:left w:val="none" w:sz="0" w:space="0" w:color="auto"/>
        <w:bottom w:val="none" w:sz="0" w:space="0" w:color="auto"/>
        <w:right w:val="none" w:sz="0" w:space="0" w:color="auto"/>
      </w:divBdr>
    </w:div>
    <w:div w:id="48118662">
      <w:bodyDiv w:val="1"/>
      <w:marLeft w:val="0"/>
      <w:marRight w:val="0"/>
      <w:marTop w:val="0"/>
      <w:marBottom w:val="0"/>
      <w:divBdr>
        <w:top w:val="none" w:sz="0" w:space="0" w:color="auto"/>
        <w:left w:val="none" w:sz="0" w:space="0" w:color="auto"/>
        <w:bottom w:val="none" w:sz="0" w:space="0" w:color="auto"/>
        <w:right w:val="none" w:sz="0" w:space="0" w:color="auto"/>
      </w:divBdr>
    </w:div>
    <w:div w:id="74589669">
      <w:bodyDiv w:val="1"/>
      <w:marLeft w:val="0"/>
      <w:marRight w:val="0"/>
      <w:marTop w:val="0"/>
      <w:marBottom w:val="0"/>
      <w:divBdr>
        <w:top w:val="none" w:sz="0" w:space="0" w:color="auto"/>
        <w:left w:val="none" w:sz="0" w:space="0" w:color="auto"/>
        <w:bottom w:val="none" w:sz="0" w:space="0" w:color="auto"/>
        <w:right w:val="none" w:sz="0" w:space="0" w:color="auto"/>
      </w:divBdr>
    </w:div>
    <w:div w:id="76446237">
      <w:bodyDiv w:val="1"/>
      <w:marLeft w:val="0"/>
      <w:marRight w:val="0"/>
      <w:marTop w:val="0"/>
      <w:marBottom w:val="0"/>
      <w:divBdr>
        <w:top w:val="none" w:sz="0" w:space="0" w:color="auto"/>
        <w:left w:val="none" w:sz="0" w:space="0" w:color="auto"/>
        <w:bottom w:val="none" w:sz="0" w:space="0" w:color="auto"/>
        <w:right w:val="none" w:sz="0" w:space="0" w:color="auto"/>
      </w:divBdr>
    </w:div>
    <w:div w:id="176311193">
      <w:bodyDiv w:val="1"/>
      <w:marLeft w:val="0"/>
      <w:marRight w:val="0"/>
      <w:marTop w:val="0"/>
      <w:marBottom w:val="0"/>
      <w:divBdr>
        <w:top w:val="none" w:sz="0" w:space="0" w:color="auto"/>
        <w:left w:val="none" w:sz="0" w:space="0" w:color="auto"/>
        <w:bottom w:val="none" w:sz="0" w:space="0" w:color="auto"/>
        <w:right w:val="none" w:sz="0" w:space="0" w:color="auto"/>
      </w:divBdr>
    </w:div>
    <w:div w:id="190922653">
      <w:bodyDiv w:val="1"/>
      <w:marLeft w:val="0"/>
      <w:marRight w:val="0"/>
      <w:marTop w:val="0"/>
      <w:marBottom w:val="0"/>
      <w:divBdr>
        <w:top w:val="none" w:sz="0" w:space="0" w:color="auto"/>
        <w:left w:val="none" w:sz="0" w:space="0" w:color="auto"/>
        <w:bottom w:val="none" w:sz="0" w:space="0" w:color="auto"/>
        <w:right w:val="none" w:sz="0" w:space="0" w:color="auto"/>
      </w:divBdr>
    </w:div>
    <w:div w:id="265355827">
      <w:bodyDiv w:val="1"/>
      <w:marLeft w:val="0"/>
      <w:marRight w:val="0"/>
      <w:marTop w:val="0"/>
      <w:marBottom w:val="0"/>
      <w:divBdr>
        <w:top w:val="none" w:sz="0" w:space="0" w:color="auto"/>
        <w:left w:val="none" w:sz="0" w:space="0" w:color="auto"/>
        <w:bottom w:val="none" w:sz="0" w:space="0" w:color="auto"/>
        <w:right w:val="none" w:sz="0" w:space="0" w:color="auto"/>
      </w:divBdr>
    </w:div>
    <w:div w:id="398403533">
      <w:bodyDiv w:val="1"/>
      <w:marLeft w:val="0"/>
      <w:marRight w:val="0"/>
      <w:marTop w:val="0"/>
      <w:marBottom w:val="0"/>
      <w:divBdr>
        <w:top w:val="none" w:sz="0" w:space="0" w:color="auto"/>
        <w:left w:val="none" w:sz="0" w:space="0" w:color="auto"/>
        <w:bottom w:val="none" w:sz="0" w:space="0" w:color="auto"/>
        <w:right w:val="none" w:sz="0" w:space="0" w:color="auto"/>
      </w:divBdr>
    </w:div>
    <w:div w:id="473525684">
      <w:bodyDiv w:val="1"/>
      <w:marLeft w:val="0"/>
      <w:marRight w:val="0"/>
      <w:marTop w:val="0"/>
      <w:marBottom w:val="0"/>
      <w:divBdr>
        <w:top w:val="none" w:sz="0" w:space="0" w:color="auto"/>
        <w:left w:val="none" w:sz="0" w:space="0" w:color="auto"/>
        <w:bottom w:val="none" w:sz="0" w:space="0" w:color="auto"/>
        <w:right w:val="none" w:sz="0" w:space="0" w:color="auto"/>
      </w:divBdr>
    </w:div>
    <w:div w:id="479420435">
      <w:bodyDiv w:val="1"/>
      <w:marLeft w:val="0"/>
      <w:marRight w:val="0"/>
      <w:marTop w:val="0"/>
      <w:marBottom w:val="0"/>
      <w:divBdr>
        <w:top w:val="none" w:sz="0" w:space="0" w:color="auto"/>
        <w:left w:val="none" w:sz="0" w:space="0" w:color="auto"/>
        <w:bottom w:val="none" w:sz="0" w:space="0" w:color="auto"/>
        <w:right w:val="none" w:sz="0" w:space="0" w:color="auto"/>
      </w:divBdr>
    </w:div>
    <w:div w:id="519129133">
      <w:bodyDiv w:val="1"/>
      <w:marLeft w:val="0"/>
      <w:marRight w:val="0"/>
      <w:marTop w:val="0"/>
      <w:marBottom w:val="0"/>
      <w:divBdr>
        <w:top w:val="none" w:sz="0" w:space="0" w:color="auto"/>
        <w:left w:val="none" w:sz="0" w:space="0" w:color="auto"/>
        <w:bottom w:val="none" w:sz="0" w:space="0" w:color="auto"/>
        <w:right w:val="none" w:sz="0" w:space="0" w:color="auto"/>
      </w:divBdr>
    </w:div>
    <w:div w:id="540749233">
      <w:bodyDiv w:val="1"/>
      <w:marLeft w:val="0"/>
      <w:marRight w:val="0"/>
      <w:marTop w:val="0"/>
      <w:marBottom w:val="0"/>
      <w:divBdr>
        <w:top w:val="none" w:sz="0" w:space="0" w:color="auto"/>
        <w:left w:val="none" w:sz="0" w:space="0" w:color="auto"/>
        <w:bottom w:val="none" w:sz="0" w:space="0" w:color="auto"/>
        <w:right w:val="none" w:sz="0" w:space="0" w:color="auto"/>
      </w:divBdr>
    </w:div>
    <w:div w:id="543297900">
      <w:bodyDiv w:val="1"/>
      <w:marLeft w:val="0"/>
      <w:marRight w:val="0"/>
      <w:marTop w:val="0"/>
      <w:marBottom w:val="0"/>
      <w:divBdr>
        <w:top w:val="none" w:sz="0" w:space="0" w:color="auto"/>
        <w:left w:val="none" w:sz="0" w:space="0" w:color="auto"/>
        <w:bottom w:val="none" w:sz="0" w:space="0" w:color="auto"/>
        <w:right w:val="none" w:sz="0" w:space="0" w:color="auto"/>
      </w:divBdr>
    </w:div>
    <w:div w:id="585382926">
      <w:bodyDiv w:val="1"/>
      <w:marLeft w:val="0"/>
      <w:marRight w:val="0"/>
      <w:marTop w:val="0"/>
      <w:marBottom w:val="0"/>
      <w:divBdr>
        <w:top w:val="none" w:sz="0" w:space="0" w:color="auto"/>
        <w:left w:val="none" w:sz="0" w:space="0" w:color="auto"/>
        <w:bottom w:val="none" w:sz="0" w:space="0" w:color="auto"/>
        <w:right w:val="none" w:sz="0" w:space="0" w:color="auto"/>
      </w:divBdr>
    </w:div>
    <w:div w:id="661079966">
      <w:bodyDiv w:val="1"/>
      <w:marLeft w:val="0"/>
      <w:marRight w:val="0"/>
      <w:marTop w:val="0"/>
      <w:marBottom w:val="0"/>
      <w:divBdr>
        <w:top w:val="none" w:sz="0" w:space="0" w:color="auto"/>
        <w:left w:val="none" w:sz="0" w:space="0" w:color="auto"/>
        <w:bottom w:val="none" w:sz="0" w:space="0" w:color="auto"/>
        <w:right w:val="none" w:sz="0" w:space="0" w:color="auto"/>
      </w:divBdr>
    </w:div>
    <w:div w:id="678892472">
      <w:bodyDiv w:val="1"/>
      <w:marLeft w:val="0"/>
      <w:marRight w:val="0"/>
      <w:marTop w:val="0"/>
      <w:marBottom w:val="0"/>
      <w:divBdr>
        <w:top w:val="none" w:sz="0" w:space="0" w:color="auto"/>
        <w:left w:val="none" w:sz="0" w:space="0" w:color="auto"/>
        <w:bottom w:val="none" w:sz="0" w:space="0" w:color="auto"/>
        <w:right w:val="none" w:sz="0" w:space="0" w:color="auto"/>
      </w:divBdr>
    </w:div>
    <w:div w:id="714698421">
      <w:bodyDiv w:val="1"/>
      <w:marLeft w:val="0"/>
      <w:marRight w:val="0"/>
      <w:marTop w:val="0"/>
      <w:marBottom w:val="0"/>
      <w:divBdr>
        <w:top w:val="none" w:sz="0" w:space="0" w:color="auto"/>
        <w:left w:val="none" w:sz="0" w:space="0" w:color="auto"/>
        <w:bottom w:val="none" w:sz="0" w:space="0" w:color="auto"/>
        <w:right w:val="none" w:sz="0" w:space="0" w:color="auto"/>
      </w:divBdr>
    </w:div>
    <w:div w:id="720442095">
      <w:bodyDiv w:val="1"/>
      <w:marLeft w:val="0"/>
      <w:marRight w:val="0"/>
      <w:marTop w:val="0"/>
      <w:marBottom w:val="0"/>
      <w:divBdr>
        <w:top w:val="none" w:sz="0" w:space="0" w:color="auto"/>
        <w:left w:val="none" w:sz="0" w:space="0" w:color="auto"/>
        <w:bottom w:val="none" w:sz="0" w:space="0" w:color="auto"/>
        <w:right w:val="none" w:sz="0" w:space="0" w:color="auto"/>
      </w:divBdr>
    </w:div>
    <w:div w:id="722098934">
      <w:bodyDiv w:val="1"/>
      <w:marLeft w:val="0"/>
      <w:marRight w:val="0"/>
      <w:marTop w:val="0"/>
      <w:marBottom w:val="0"/>
      <w:divBdr>
        <w:top w:val="none" w:sz="0" w:space="0" w:color="auto"/>
        <w:left w:val="none" w:sz="0" w:space="0" w:color="auto"/>
        <w:bottom w:val="none" w:sz="0" w:space="0" w:color="auto"/>
        <w:right w:val="none" w:sz="0" w:space="0" w:color="auto"/>
      </w:divBdr>
    </w:div>
    <w:div w:id="745151676">
      <w:bodyDiv w:val="1"/>
      <w:marLeft w:val="0"/>
      <w:marRight w:val="0"/>
      <w:marTop w:val="0"/>
      <w:marBottom w:val="0"/>
      <w:divBdr>
        <w:top w:val="none" w:sz="0" w:space="0" w:color="auto"/>
        <w:left w:val="none" w:sz="0" w:space="0" w:color="auto"/>
        <w:bottom w:val="none" w:sz="0" w:space="0" w:color="auto"/>
        <w:right w:val="none" w:sz="0" w:space="0" w:color="auto"/>
      </w:divBdr>
    </w:div>
    <w:div w:id="765004513">
      <w:bodyDiv w:val="1"/>
      <w:marLeft w:val="0"/>
      <w:marRight w:val="0"/>
      <w:marTop w:val="0"/>
      <w:marBottom w:val="0"/>
      <w:divBdr>
        <w:top w:val="none" w:sz="0" w:space="0" w:color="auto"/>
        <w:left w:val="none" w:sz="0" w:space="0" w:color="auto"/>
        <w:bottom w:val="none" w:sz="0" w:space="0" w:color="auto"/>
        <w:right w:val="none" w:sz="0" w:space="0" w:color="auto"/>
      </w:divBdr>
    </w:div>
    <w:div w:id="815806589">
      <w:bodyDiv w:val="1"/>
      <w:marLeft w:val="0"/>
      <w:marRight w:val="0"/>
      <w:marTop w:val="0"/>
      <w:marBottom w:val="0"/>
      <w:divBdr>
        <w:top w:val="none" w:sz="0" w:space="0" w:color="auto"/>
        <w:left w:val="none" w:sz="0" w:space="0" w:color="auto"/>
        <w:bottom w:val="none" w:sz="0" w:space="0" w:color="auto"/>
        <w:right w:val="none" w:sz="0" w:space="0" w:color="auto"/>
      </w:divBdr>
    </w:div>
    <w:div w:id="849491479">
      <w:bodyDiv w:val="1"/>
      <w:marLeft w:val="0"/>
      <w:marRight w:val="0"/>
      <w:marTop w:val="0"/>
      <w:marBottom w:val="0"/>
      <w:divBdr>
        <w:top w:val="none" w:sz="0" w:space="0" w:color="auto"/>
        <w:left w:val="none" w:sz="0" w:space="0" w:color="auto"/>
        <w:bottom w:val="none" w:sz="0" w:space="0" w:color="auto"/>
        <w:right w:val="none" w:sz="0" w:space="0" w:color="auto"/>
      </w:divBdr>
    </w:div>
    <w:div w:id="916598074">
      <w:bodyDiv w:val="1"/>
      <w:marLeft w:val="0"/>
      <w:marRight w:val="0"/>
      <w:marTop w:val="0"/>
      <w:marBottom w:val="0"/>
      <w:divBdr>
        <w:top w:val="none" w:sz="0" w:space="0" w:color="auto"/>
        <w:left w:val="none" w:sz="0" w:space="0" w:color="auto"/>
        <w:bottom w:val="none" w:sz="0" w:space="0" w:color="auto"/>
        <w:right w:val="none" w:sz="0" w:space="0" w:color="auto"/>
      </w:divBdr>
    </w:div>
    <w:div w:id="952053616">
      <w:bodyDiv w:val="1"/>
      <w:marLeft w:val="0"/>
      <w:marRight w:val="0"/>
      <w:marTop w:val="0"/>
      <w:marBottom w:val="0"/>
      <w:divBdr>
        <w:top w:val="none" w:sz="0" w:space="0" w:color="auto"/>
        <w:left w:val="none" w:sz="0" w:space="0" w:color="auto"/>
        <w:bottom w:val="none" w:sz="0" w:space="0" w:color="auto"/>
        <w:right w:val="none" w:sz="0" w:space="0" w:color="auto"/>
      </w:divBdr>
    </w:div>
    <w:div w:id="979725606">
      <w:bodyDiv w:val="1"/>
      <w:marLeft w:val="0"/>
      <w:marRight w:val="0"/>
      <w:marTop w:val="0"/>
      <w:marBottom w:val="0"/>
      <w:divBdr>
        <w:top w:val="none" w:sz="0" w:space="0" w:color="auto"/>
        <w:left w:val="none" w:sz="0" w:space="0" w:color="auto"/>
        <w:bottom w:val="none" w:sz="0" w:space="0" w:color="auto"/>
        <w:right w:val="none" w:sz="0" w:space="0" w:color="auto"/>
      </w:divBdr>
    </w:div>
    <w:div w:id="1026325022">
      <w:bodyDiv w:val="1"/>
      <w:marLeft w:val="0"/>
      <w:marRight w:val="0"/>
      <w:marTop w:val="0"/>
      <w:marBottom w:val="0"/>
      <w:divBdr>
        <w:top w:val="none" w:sz="0" w:space="0" w:color="auto"/>
        <w:left w:val="none" w:sz="0" w:space="0" w:color="auto"/>
        <w:bottom w:val="none" w:sz="0" w:space="0" w:color="auto"/>
        <w:right w:val="none" w:sz="0" w:space="0" w:color="auto"/>
      </w:divBdr>
    </w:div>
    <w:div w:id="1027099475">
      <w:bodyDiv w:val="1"/>
      <w:marLeft w:val="0"/>
      <w:marRight w:val="0"/>
      <w:marTop w:val="0"/>
      <w:marBottom w:val="0"/>
      <w:divBdr>
        <w:top w:val="none" w:sz="0" w:space="0" w:color="auto"/>
        <w:left w:val="none" w:sz="0" w:space="0" w:color="auto"/>
        <w:bottom w:val="none" w:sz="0" w:space="0" w:color="auto"/>
        <w:right w:val="none" w:sz="0" w:space="0" w:color="auto"/>
      </w:divBdr>
    </w:div>
    <w:div w:id="1098989541">
      <w:bodyDiv w:val="1"/>
      <w:marLeft w:val="0"/>
      <w:marRight w:val="0"/>
      <w:marTop w:val="0"/>
      <w:marBottom w:val="0"/>
      <w:divBdr>
        <w:top w:val="none" w:sz="0" w:space="0" w:color="auto"/>
        <w:left w:val="none" w:sz="0" w:space="0" w:color="auto"/>
        <w:bottom w:val="none" w:sz="0" w:space="0" w:color="auto"/>
        <w:right w:val="none" w:sz="0" w:space="0" w:color="auto"/>
      </w:divBdr>
    </w:div>
    <w:div w:id="1133866325">
      <w:bodyDiv w:val="1"/>
      <w:marLeft w:val="0"/>
      <w:marRight w:val="0"/>
      <w:marTop w:val="0"/>
      <w:marBottom w:val="0"/>
      <w:divBdr>
        <w:top w:val="none" w:sz="0" w:space="0" w:color="auto"/>
        <w:left w:val="none" w:sz="0" w:space="0" w:color="auto"/>
        <w:bottom w:val="none" w:sz="0" w:space="0" w:color="auto"/>
        <w:right w:val="none" w:sz="0" w:space="0" w:color="auto"/>
      </w:divBdr>
    </w:div>
    <w:div w:id="1139958628">
      <w:bodyDiv w:val="1"/>
      <w:marLeft w:val="0"/>
      <w:marRight w:val="0"/>
      <w:marTop w:val="0"/>
      <w:marBottom w:val="0"/>
      <w:divBdr>
        <w:top w:val="none" w:sz="0" w:space="0" w:color="auto"/>
        <w:left w:val="none" w:sz="0" w:space="0" w:color="auto"/>
        <w:bottom w:val="none" w:sz="0" w:space="0" w:color="auto"/>
        <w:right w:val="none" w:sz="0" w:space="0" w:color="auto"/>
      </w:divBdr>
    </w:div>
    <w:div w:id="1207330311">
      <w:bodyDiv w:val="1"/>
      <w:marLeft w:val="0"/>
      <w:marRight w:val="0"/>
      <w:marTop w:val="0"/>
      <w:marBottom w:val="0"/>
      <w:divBdr>
        <w:top w:val="none" w:sz="0" w:space="0" w:color="auto"/>
        <w:left w:val="none" w:sz="0" w:space="0" w:color="auto"/>
        <w:bottom w:val="none" w:sz="0" w:space="0" w:color="auto"/>
        <w:right w:val="none" w:sz="0" w:space="0" w:color="auto"/>
      </w:divBdr>
    </w:div>
    <w:div w:id="1229271530">
      <w:bodyDiv w:val="1"/>
      <w:marLeft w:val="0"/>
      <w:marRight w:val="0"/>
      <w:marTop w:val="0"/>
      <w:marBottom w:val="0"/>
      <w:divBdr>
        <w:top w:val="none" w:sz="0" w:space="0" w:color="auto"/>
        <w:left w:val="none" w:sz="0" w:space="0" w:color="auto"/>
        <w:bottom w:val="none" w:sz="0" w:space="0" w:color="auto"/>
        <w:right w:val="none" w:sz="0" w:space="0" w:color="auto"/>
      </w:divBdr>
    </w:div>
    <w:div w:id="1262955446">
      <w:bodyDiv w:val="1"/>
      <w:marLeft w:val="0"/>
      <w:marRight w:val="0"/>
      <w:marTop w:val="0"/>
      <w:marBottom w:val="0"/>
      <w:divBdr>
        <w:top w:val="none" w:sz="0" w:space="0" w:color="auto"/>
        <w:left w:val="none" w:sz="0" w:space="0" w:color="auto"/>
        <w:bottom w:val="none" w:sz="0" w:space="0" w:color="auto"/>
        <w:right w:val="none" w:sz="0" w:space="0" w:color="auto"/>
      </w:divBdr>
    </w:div>
    <w:div w:id="1285506323">
      <w:bodyDiv w:val="1"/>
      <w:marLeft w:val="0"/>
      <w:marRight w:val="0"/>
      <w:marTop w:val="0"/>
      <w:marBottom w:val="0"/>
      <w:divBdr>
        <w:top w:val="none" w:sz="0" w:space="0" w:color="auto"/>
        <w:left w:val="none" w:sz="0" w:space="0" w:color="auto"/>
        <w:bottom w:val="none" w:sz="0" w:space="0" w:color="auto"/>
        <w:right w:val="none" w:sz="0" w:space="0" w:color="auto"/>
      </w:divBdr>
    </w:div>
    <w:div w:id="1325207032">
      <w:bodyDiv w:val="1"/>
      <w:marLeft w:val="0"/>
      <w:marRight w:val="0"/>
      <w:marTop w:val="0"/>
      <w:marBottom w:val="0"/>
      <w:divBdr>
        <w:top w:val="none" w:sz="0" w:space="0" w:color="auto"/>
        <w:left w:val="none" w:sz="0" w:space="0" w:color="auto"/>
        <w:bottom w:val="none" w:sz="0" w:space="0" w:color="auto"/>
        <w:right w:val="none" w:sz="0" w:space="0" w:color="auto"/>
      </w:divBdr>
    </w:div>
    <w:div w:id="1333946460">
      <w:bodyDiv w:val="1"/>
      <w:marLeft w:val="0"/>
      <w:marRight w:val="0"/>
      <w:marTop w:val="0"/>
      <w:marBottom w:val="0"/>
      <w:divBdr>
        <w:top w:val="none" w:sz="0" w:space="0" w:color="auto"/>
        <w:left w:val="none" w:sz="0" w:space="0" w:color="auto"/>
        <w:bottom w:val="none" w:sz="0" w:space="0" w:color="auto"/>
        <w:right w:val="none" w:sz="0" w:space="0" w:color="auto"/>
      </w:divBdr>
    </w:div>
    <w:div w:id="1336877867">
      <w:bodyDiv w:val="1"/>
      <w:marLeft w:val="0"/>
      <w:marRight w:val="0"/>
      <w:marTop w:val="0"/>
      <w:marBottom w:val="0"/>
      <w:divBdr>
        <w:top w:val="none" w:sz="0" w:space="0" w:color="auto"/>
        <w:left w:val="none" w:sz="0" w:space="0" w:color="auto"/>
        <w:bottom w:val="none" w:sz="0" w:space="0" w:color="auto"/>
        <w:right w:val="none" w:sz="0" w:space="0" w:color="auto"/>
      </w:divBdr>
    </w:div>
    <w:div w:id="1377311492">
      <w:bodyDiv w:val="1"/>
      <w:marLeft w:val="0"/>
      <w:marRight w:val="0"/>
      <w:marTop w:val="0"/>
      <w:marBottom w:val="0"/>
      <w:divBdr>
        <w:top w:val="none" w:sz="0" w:space="0" w:color="auto"/>
        <w:left w:val="none" w:sz="0" w:space="0" w:color="auto"/>
        <w:bottom w:val="none" w:sz="0" w:space="0" w:color="auto"/>
        <w:right w:val="none" w:sz="0" w:space="0" w:color="auto"/>
      </w:divBdr>
    </w:div>
    <w:div w:id="1402602464">
      <w:bodyDiv w:val="1"/>
      <w:marLeft w:val="0"/>
      <w:marRight w:val="0"/>
      <w:marTop w:val="0"/>
      <w:marBottom w:val="0"/>
      <w:divBdr>
        <w:top w:val="none" w:sz="0" w:space="0" w:color="auto"/>
        <w:left w:val="none" w:sz="0" w:space="0" w:color="auto"/>
        <w:bottom w:val="none" w:sz="0" w:space="0" w:color="auto"/>
        <w:right w:val="none" w:sz="0" w:space="0" w:color="auto"/>
      </w:divBdr>
    </w:div>
    <w:div w:id="1406688432">
      <w:bodyDiv w:val="1"/>
      <w:marLeft w:val="0"/>
      <w:marRight w:val="0"/>
      <w:marTop w:val="0"/>
      <w:marBottom w:val="0"/>
      <w:divBdr>
        <w:top w:val="none" w:sz="0" w:space="0" w:color="auto"/>
        <w:left w:val="none" w:sz="0" w:space="0" w:color="auto"/>
        <w:bottom w:val="none" w:sz="0" w:space="0" w:color="auto"/>
        <w:right w:val="none" w:sz="0" w:space="0" w:color="auto"/>
      </w:divBdr>
    </w:div>
    <w:div w:id="1426537253">
      <w:bodyDiv w:val="1"/>
      <w:marLeft w:val="0"/>
      <w:marRight w:val="0"/>
      <w:marTop w:val="0"/>
      <w:marBottom w:val="0"/>
      <w:divBdr>
        <w:top w:val="none" w:sz="0" w:space="0" w:color="auto"/>
        <w:left w:val="none" w:sz="0" w:space="0" w:color="auto"/>
        <w:bottom w:val="none" w:sz="0" w:space="0" w:color="auto"/>
        <w:right w:val="none" w:sz="0" w:space="0" w:color="auto"/>
      </w:divBdr>
    </w:div>
    <w:div w:id="1433815165">
      <w:bodyDiv w:val="1"/>
      <w:marLeft w:val="0"/>
      <w:marRight w:val="0"/>
      <w:marTop w:val="0"/>
      <w:marBottom w:val="0"/>
      <w:divBdr>
        <w:top w:val="none" w:sz="0" w:space="0" w:color="auto"/>
        <w:left w:val="none" w:sz="0" w:space="0" w:color="auto"/>
        <w:bottom w:val="none" w:sz="0" w:space="0" w:color="auto"/>
        <w:right w:val="none" w:sz="0" w:space="0" w:color="auto"/>
      </w:divBdr>
    </w:div>
    <w:div w:id="1477988726">
      <w:bodyDiv w:val="1"/>
      <w:marLeft w:val="0"/>
      <w:marRight w:val="0"/>
      <w:marTop w:val="0"/>
      <w:marBottom w:val="0"/>
      <w:divBdr>
        <w:top w:val="none" w:sz="0" w:space="0" w:color="auto"/>
        <w:left w:val="none" w:sz="0" w:space="0" w:color="auto"/>
        <w:bottom w:val="none" w:sz="0" w:space="0" w:color="auto"/>
        <w:right w:val="none" w:sz="0" w:space="0" w:color="auto"/>
      </w:divBdr>
    </w:div>
    <w:div w:id="1498689027">
      <w:bodyDiv w:val="1"/>
      <w:marLeft w:val="0"/>
      <w:marRight w:val="0"/>
      <w:marTop w:val="0"/>
      <w:marBottom w:val="0"/>
      <w:divBdr>
        <w:top w:val="none" w:sz="0" w:space="0" w:color="auto"/>
        <w:left w:val="none" w:sz="0" w:space="0" w:color="auto"/>
        <w:bottom w:val="none" w:sz="0" w:space="0" w:color="auto"/>
        <w:right w:val="none" w:sz="0" w:space="0" w:color="auto"/>
      </w:divBdr>
    </w:div>
    <w:div w:id="1553272492">
      <w:bodyDiv w:val="1"/>
      <w:marLeft w:val="0"/>
      <w:marRight w:val="0"/>
      <w:marTop w:val="0"/>
      <w:marBottom w:val="0"/>
      <w:divBdr>
        <w:top w:val="none" w:sz="0" w:space="0" w:color="auto"/>
        <w:left w:val="none" w:sz="0" w:space="0" w:color="auto"/>
        <w:bottom w:val="none" w:sz="0" w:space="0" w:color="auto"/>
        <w:right w:val="none" w:sz="0" w:space="0" w:color="auto"/>
      </w:divBdr>
    </w:div>
    <w:div w:id="1563179479">
      <w:bodyDiv w:val="1"/>
      <w:marLeft w:val="0"/>
      <w:marRight w:val="0"/>
      <w:marTop w:val="0"/>
      <w:marBottom w:val="0"/>
      <w:divBdr>
        <w:top w:val="none" w:sz="0" w:space="0" w:color="auto"/>
        <w:left w:val="none" w:sz="0" w:space="0" w:color="auto"/>
        <w:bottom w:val="none" w:sz="0" w:space="0" w:color="auto"/>
        <w:right w:val="none" w:sz="0" w:space="0" w:color="auto"/>
      </w:divBdr>
    </w:div>
    <w:div w:id="1584755367">
      <w:bodyDiv w:val="1"/>
      <w:marLeft w:val="0"/>
      <w:marRight w:val="0"/>
      <w:marTop w:val="0"/>
      <w:marBottom w:val="0"/>
      <w:divBdr>
        <w:top w:val="none" w:sz="0" w:space="0" w:color="auto"/>
        <w:left w:val="none" w:sz="0" w:space="0" w:color="auto"/>
        <w:bottom w:val="none" w:sz="0" w:space="0" w:color="auto"/>
        <w:right w:val="none" w:sz="0" w:space="0" w:color="auto"/>
      </w:divBdr>
    </w:div>
    <w:div w:id="1586956799">
      <w:bodyDiv w:val="1"/>
      <w:marLeft w:val="0"/>
      <w:marRight w:val="0"/>
      <w:marTop w:val="0"/>
      <w:marBottom w:val="0"/>
      <w:divBdr>
        <w:top w:val="none" w:sz="0" w:space="0" w:color="auto"/>
        <w:left w:val="none" w:sz="0" w:space="0" w:color="auto"/>
        <w:bottom w:val="none" w:sz="0" w:space="0" w:color="auto"/>
        <w:right w:val="none" w:sz="0" w:space="0" w:color="auto"/>
      </w:divBdr>
    </w:div>
    <w:div w:id="1588267959">
      <w:bodyDiv w:val="1"/>
      <w:marLeft w:val="0"/>
      <w:marRight w:val="0"/>
      <w:marTop w:val="0"/>
      <w:marBottom w:val="0"/>
      <w:divBdr>
        <w:top w:val="none" w:sz="0" w:space="0" w:color="auto"/>
        <w:left w:val="none" w:sz="0" w:space="0" w:color="auto"/>
        <w:bottom w:val="none" w:sz="0" w:space="0" w:color="auto"/>
        <w:right w:val="none" w:sz="0" w:space="0" w:color="auto"/>
      </w:divBdr>
    </w:div>
    <w:div w:id="1635403866">
      <w:bodyDiv w:val="1"/>
      <w:marLeft w:val="0"/>
      <w:marRight w:val="0"/>
      <w:marTop w:val="0"/>
      <w:marBottom w:val="0"/>
      <w:divBdr>
        <w:top w:val="none" w:sz="0" w:space="0" w:color="auto"/>
        <w:left w:val="none" w:sz="0" w:space="0" w:color="auto"/>
        <w:bottom w:val="none" w:sz="0" w:space="0" w:color="auto"/>
        <w:right w:val="none" w:sz="0" w:space="0" w:color="auto"/>
      </w:divBdr>
    </w:div>
    <w:div w:id="1669943869">
      <w:bodyDiv w:val="1"/>
      <w:marLeft w:val="0"/>
      <w:marRight w:val="0"/>
      <w:marTop w:val="0"/>
      <w:marBottom w:val="0"/>
      <w:divBdr>
        <w:top w:val="none" w:sz="0" w:space="0" w:color="auto"/>
        <w:left w:val="none" w:sz="0" w:space="0" w:color="auto"/>
        <w:bottom w:val="none" w:sz="0" w:space="0" w:color="auto"/>
        <w:right w:val="none" w:sz="0" w:space="0" w:color="auto"/>
      </w:divBdr>
    </w:div>
    <w:div w:id="1701663562">
      <w:bodyDiv w:val="1"/>
      <w:marLeft w:val="0"/>
      <w:marRight w:val="0"/>
      <w:marTop w:val="0"/>
      <w:marBottom w:val="0"/>
      <w:divBdr>
        <w:top w:val="none" w:sz="0" w:space="0" w:color="auto"/>
        <w:left w:val="none" w:sz="0" w:space="0" w:color="auto"/>
        <w:bottom w:val="none" w:sz="0" w:space="0" w:color="auto"/>
        <w:right w:val="none" w:sz="0" w:space="0" w:color="auto"/>
      </w:divBdr>
    </w:div>
    <w:div w:id="1715233017">
      <w:bodyDiv w:val="1"/>
      <w:marLeft w:val="0"/>
      <w:marRight w:val="0"/>
      <w:marTop w:val="0"/>
      <w:marBottom w:val="0"/>
      <w:divBdr>
        <w:top w:val="none" w:sz="0" w:space="0" w:color="auto"/>
        <w:left w:val="none" w:sz="0" w:space="0" w:color="auto"/>
        <w:bottom w:val="none" w:sz="0" w:space="0" w:color="auto"/>
        <w:right w:val="none" w:sz="0" w:space="0" w:color="auto"/>
      </w:divBdr>
    </w:div>
    <w:div w:id="1767648460">
      <w:bodyDiv w:val="1"/>
      <w:marLeft w:val="0"/>
      <w:marRight w:val="0"/>
      <w:marTop w:val="0"/>
      <w:marBottom w:val="0"/>
      <w:divBdr>
        <w:top w:val="none" w:sz="0" w:space="0" w:color="auto"/>
        <w:left w:val="none" w:sz="0" w:space="0" w:color="auto"/>
        <w:bottom w:val="none" w:sz="0" w:space="0" w:color="auto"/>
        <w:right w:val="none" w:sz="0" w:space="0" w:color="auto"/>
      </w:divBdr>
    </w:div>
    <w:div w:id="1791119440">
      <w:bodyDiv w:val="1"/>
      <w:marLeft w:val="0"/>
      <w:marRight w:val="0"/>
      <w:marTop w:val="0"/>
      <w:marBottom w:val="0"/>
      <w:divBdr>
        <w:top w:val="none" w:sz="0" w:space="0" w:color="auto"/>
        <w:left w:val="none" w:sz="0" w:space="0" w:color="auto"/>
        <w:bottom w:val="none" w:sz="0" w:space="0" w:color="auto"/>
        <w:right w:val="none" w:sz="0" w:space="0" w:color="auto"/>
      </w:divBdr>
    </w:div>
    <w:div w:id="1805997482">
      <w:bodyDiv w:val="1"/>
      <w:marLeft w:val="0"/>
      <w:marRight w:val="0"/>
      <w:marTop w:val="0"/>
      <w:marBottom w:val="0"/>
      <w:divBdr>
        <w:top w:val="none" w:sz="0" w:space="0" w:color="auto"/>
        <w:left w:val="none" w:sz="0" w:space="0" w:color="auto"/>
        <w:bottom w:val="none" w:sz="0" w:space="0" w:color="auto"/>
        <w:right w:val="none" w:sz="0" w:space="0" w:color="auto"/>
      </w:divBdr>
    </w:div>
    <w:div w:id="1810124177">
      <w:bodyDiv w:val="1"/>
      <w:marLeft w:val="0"/>
      <w:marRight w:val="0"/>
      <w:marTop w:val="0"/>
      <w:marBottom w:val="0"/>
      <w:divBdr>
        <w:top w:val="none" w:sz="0" w:space="0" w:color="auto"/>
        <w:left w:val="none" w:sz="0" w:space="0" w:color="auto"/>
        <w:bottom w:val="none" w:sz="0" w:space="0" w:color="auto"/>
        <w:right w:val="none" w:sz="0" w:space="0" w:color="auto"/>
      </w:divBdr>
    </w:div>
    <w:div w:id="1926257756">
      <w:bodyDiv w:val="1"/>
      <w:marLeft w:val="0"/>
      <w:marRight w:val="0"/>
      <w:marTop w:val="0"/>
      <w:marBottom w:val="0"/>
      <w:divBdr>
        <w:top w:val="none" w:sz="0" w:space="0" w:color="auto"/>
        <w:left w:val="none" w:sz="0" w:space="0" w:color="auto"/>
        <w:bottom w:val="none" w:sz="0" w:space="0" w:color="auto"/>
        <w:right w:val="none" w:sz="0" w:space="0" w:color="auto"/>
      </w:divBdr>
    </w:div>
    <w:div w:id="1960454781">
      <w:bodyDiv w:val="1"/>
      <w:marLeft w:val="0"/>
      <w:marRight w:val="0"/>
      <w:marTop w:val="0"/>
      <w:marBottom w:val="0"/>
      <w:divBdr>
        <w:top w:val="none" w:sz="0" w:space="0" w:color="auto"/>
        <w:left w:val="none" w:sz="0" w:space="0" w:color="auto"/>
        <w:bottom w:val="none" w:sz="0" w:space="0" w:color="auto"/>
        <w:right w:val="none" w:sz="0" w:space="0" w:color="auto"/>
      </w:divBdr>
    </w:div>
    <w:div w:id="2087145217">
      <w:bodyDiv w:val="1"/>
      <w:marLeft w:val="0"/>
      <w:marRight w:val="0"/>
      <w:marTop w:val="0"/>
      <w:marBottom w:val="0"/>
      <w:divBdr>
        <w:top w:val="none" w:sz="0" w:space="0" w:color="auto"/>
        <w:left w:val="none" w:sz="0" w:space="0" w:color="auto"/>
        <w:bottom w:val="none" w:sz="0" w:space="0" w:color="auto"/>
        <w:right w:val="none" w:sz="0" w:space="0" w:color="auto"/>
      </w:divBdr>
    </w:div>
    <w:div w:id="2110195592">
      <w:bodyDiv w:val="1"/>
      <w:marLeft w:val="0"/>
      <w:marRight w:val="0"/>
      <w:marTop w:val="0"/>
      <w:marBottom w:val="0"/>
      <w:divBdr>
        <w:top w:val="none" w:sz="0" w:space="0" w:color="auto"/>
        <w:left w:val="none" w:sz="0" w:space="0" w:color="auto"/>
        <w:bottom w:val="none" w:sz="0" w:space="0" w:color="auto"/>
        <w:right w:val="none" w:sz="0" w:space="0" w:color="auto"/>
      </w:divBdr>
    </w:div>
    <w:div w:id="2116751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chart" Target="charts/chart2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chart" Target="charts/chart8.xml"/><Relationship Id="rId31" Type="http://schemas.openxmlformats.org/officeDocument/2006/relationships/chart" Target="charts/chart2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X380\Desktop\POBI2019_score_with_grap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X380\Desktop\POBI2019_score_with_graph.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X380\Desktop\POBI2019_score_with_graph.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X380\Desktop\POBI2019_score_with_graph.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X380\Desktop\POBI2019_score_with_graph.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X380\Desktop\POBI2019_score_with_graph.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X380\Desktop\POBI2019_score_with_graph.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X380\Desktop\POBI2019_score_with_graph.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X380\Desktop\POBI2019_score_with_graph.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X380\Desktop\POBI2019_score_with_graph.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X380\Desktop\POBI2019_score_with_graph.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X380\Desktop\POBI2019_score-checking.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X380\Desktop\POBI2019_score_with_graph.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X380\Desktop\POBI2019_score_with_graph.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X380\Desktop\POBI2019_score_with_graph.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X380\Desktop\POBI2019_score_with_graph.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X380\Desktop\POBI2019_score_with_graph.xlsx" TargetMode="External"/><Relationship Id="rId2" Type="http://schemas.microsoft.com/office/2011/relationships/chartColorStyle" Target="colors24.xml"/><Relationship Id="rId1" Type="http://schemas.microsoft.com/office/2011/relationships/chartStyle" Target="style24.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X380\Desktop\POBI2019_score-checking.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X380\Desktop\POBI2019_score_with_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X380\Desktop\POBI2019_score_with_grap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X380\Desktop\POBI2019_score_with_grap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X380\Desktop\POBI2019_score_with_grap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X380\Desktop\POBI2019_score_with_grap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X380\Desktop\POBI2019_score_with_grap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'graph-data'!$S$3</c:f>
              <c:strCache>
                <c:ptCount val="1"/>
                <c:pt idx="0">
                  <c:v>Microsoft Word/Excel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'graph-data'!$T$2:$Z$2</c:f>
              <c:strCache>
                <c:ptCount val="7"/>
                <c:pt idx="0">
                  <c:v>Dự thảo dự toán ngân sách tỉnh năm 2020 trình HĐND </c:v>
                </c:pt>
                <c:pt idx="1">
                  <c:v>Dự toán ngân sách tỉnh năm 2020 đã được HĐND tỉnh quyết định</c:v>
                </c:pt>
                <c:pt idx="2">
                  <c:v>Tình hình thực hiện ngân sách tỉnh quí 1 </c:v>
                </c:pt>
                <c:pt idx="3">
                  <c:v>Tình hình thực hiện ngân sách tỉnh 06 tháng đầu năm 2019</c:v>
                </c:pt>
                <c:pt idx="4">
                  <c:v>Tình hình thực hiện ngân sách tỉnh quý 3 </c:v>
                </c:pt>
                <c:pt idx="5">
                  <c:v>Tình hình thực hiện ngân sách tỉnh năm 2019</c:v>
                </c:pt>
                <c:pt idx="6">
                  <c:v>Báo cáo quyết toán NSNN năm 2018 đã được HĐND tỉnh phê chuẩn </c:v>
                </c:pt>
              </c:strCache>
            </c:strRef>
          </c:cat>
          <c:val>
            <c:numRef>
              <c:f>'graph-data'!$T$3:$Z$3</c:f>
              <c:numCache>
                <c:formatCode>General</c:formatCode>
                <c:ptCount val="7"/>
                <c:pt idx="0">
                  <c:v>34</c:v>
                </c:pt>
                <c:pt idx="1">
                  <c:v>34</c:v>
                </c:pt>
                <c:pt idx="2">
                  <c:v>37</c:v>
                </c:pt>
                <c:pt idx="3">
                  <c:v>39</c:v>
                </c:pt>
                <c:pt idx="4">
                  <c:v>38</c:v>
                </c:pt>
                <c:pt idx="5">
                  <c:v>39</c:v>
                </c:pt>
                <c:pt idx="6">
                  <c:v>32</c:v>
                </c:pt>
              </c:numCache>
            </c:numRef>
          </c:val>
          <c:extLst>
            <c:ext xmlns:c16="http://schemas.microsoft.com/office/drawing/2014/chart" uri="{C3380CC4-5D6E-409C-BE32-E72D297353CC}">
              <c16:uniqueId val="{00000000-87E5-4477-AACD-D3FBEA560FAA}"/>
            </c:ext>
          </c:extLst>
        </c:ser>
        <c:ser>
          <c:idx val="1"/>
          <c:order val="1"/>
          <c:tx>
            <c:strRef>
              <c:f>'graph-data'!$S$4</c:f>
              <c:strCache>
                <c:ptCount val="1"/>
                <c:pt idx="0">
                  <c:v>PDF (dễ dàng đọc hoặc chuyển định dạng Word/Excel)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'graph-data'!$T$2:$Z$2</c:f>
              <c:strCache>
                <c:ptCount val="7"/>
                <c:pt idx="0">
                  <c:v>Dự thảo dự toán ngân sách tỉnh năm 2020 trình HĐND </c:v>
                </c:pt>
                <c:pt idx="1">
                  <c:v>Dự toán ngân sách tỉnh năm 2020 đã được HĐND tỉnh quyết định</c:v>
                </c:pt>
                <c:pt idx="2">
                  <c:v>Tình hình thực hiện ngân sách tỉnh quí 1 </c:v>
                </c:pt>
                <c:pt idx="3">
                  <c:v>Tình hình thực hiện ngân sách tỉnh 06 tháng đầu năm 2019</c:v>
                </c:pt>
                <c:pt idx="4">
                  <c:v>Tình hình thực hiện ngân sách tỉnh quý 3 </c:v>
                </c:pt>
                <c:pt idx="5">
                  <c:v>Tình hình thực hiện ngân sách tỉnh năm 2019</c:v>
                </c:pt>
                <c:pt idx="6">
                  <c:v>Báo cáo quyết toán NSNN năm 2018 đã được HĐND tỉnh phê chuẩn </c:v>
                </c:pt>
              </c:strCache>
            </c:strRef>
          </c:cat>
          <c:val>
            <c:numRef>
              <c:f>'graph-data'!$T$4:$Z$4</c:f>
              <c:numCache>
                <c:formatCode>General</c:formatCode>
                <c:ptCount val="7"/>
                <c:pt idx="0">
                  <c:v>5</c:v>
                </c:pt>
                <c:pt idx="1">
                  <c:v>5</c:v>
                </c:pt>
                <c:pt idx="2">
                  <c:v>4</c:v>
                </c:pt>
                <c:pt idx="3">
                  <c:v>5</c:v>
                </c:pt>
                <c:pt idx="4">
                  <c:v>6</c:v>
                </c:pt>
                <c:pt idx="5">
                  <c:v>4</c:v>
                </c:pt>
                <c:pt idx="6">
                  <c:v>5</c:v>
                </c:pt>
              </c:numCache>
            </c:numRef>
          </c:val>
          <c:extLst>
            <c:ext xmlns:c16="http://schemas.microsoft.com/office/drawing/2014/chart" uri="{C3380CC4-5D6E-409C-BE32-E72D297353CC}">
              <c16:uniqueId val="{00000001-87E5-4477-AACD-D3FBEA560FAA}"/>
            </c:ext>
          </c:extLst>
        </c:ser>
        <c:ser>
          <c:idx val="2"/>
          <c:order val="2"/>
          <c:tx>
            <c:strRef>
              <c:f>'graph-data'!$S$5</c:f>
              <c:strCache>
                <c:ptCount val="1"/>
                <c:pt idx="0">
                  <c:v>PDF dạng scan/flie ảnh (khó/không thuận tiện chuyển sang định dạnh Word/Excel)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'graph-data'!$T$2:$Z$2</c:f>
              <c:strCache>
                <c:ptCount val="7"/>
                <c:pt idx="0">
                  <c:v>Dự thảo dự toán ngân sách tỉnh năm 2020 trình HĐND </c:v>
                </c:pt>
                <c:pt idx="1">
                  <c:v>Dự toán ngân sách tỉnh năm 2020 đã được HĐND tỉnh quyết định</c:v>
                </c:pt>
                <c:pt idx="2">
                  <c:v>Tình hình thực hiện ngân sách tỉnh quí 1 </c:v>
                </c:pt>
                <c:pt idx="3">
                  <c:v>Tình hình thực hiện ngân sách tỉnh 06 tháng đầu năm 2019</c:v>
                </c:pt>
                <c:pt idx="4">
                  <c:v>Tình hình thực hiện ngân sách tỉnh quý 3 </c:v>
                </c:pt>
                <c:pt idx="5">
                  <c:v>Tình hình thực hiện ngân sách tỉnh năm 2019</c:v>
                </c:pt>
                <c:pt idx="6">
                  <c:v>Báo cáo quyết toán NSNN năm 2018 đã được HĐND tỉnh phê chuẩn </c:v>
                </c:pt>
              </c:strCache>
            </c:strRef>
          </c:cat>
          <c:val>
            <c:numRef>
              <c:f>'graph-data'!$T$5:$Z$5</c:f>
              <c:numCache>
                <c:formatCode>General</c:formatCode>
                <c:ptCount val="7"/>
                <c:pt idx="0">
                  <c:v>14</c:v>
                </c:pt>
                <c:pt idx="1">
                  <c:v>19</c:v>
                </c:pt>
                <c:pt idx="2">
                  <c:v>17</c:v>
                </c:pt>
                <c:pt idx="3">
                  <c:v>14</c:v>
                </c:pt>
                <c:pt idx="4">
                  <c:v>11</c:v>
                </c:pt>
                <c:pt idx="5">
                  <c:v>11</c:v>
                </c:pt>
                <c:pt idx="6">
                  <c:v>20</c:v>
                </c:pt>
              </c:numCache>
            </c:numRef>
          </c:val>
          <c:extLst>
            <c:ext xmlns:c16="http://schemas.microsoft.com/office/drawing/2014/chart" uri="{C3380CC4-5D6E-409C-BE32-E72D297353CC}">
              <c16:uniqueId val="{00000002-87E5-4477-AACD-D3FBEA560FAA}"/>
            </c:ext>
          </c:extLst>
        </c:ser>
        <c:dLbls>
          <c:showLegendKey val="0"/>
          <c:showVal val="0"/>
          <c:showCatName val="0"/>
          <c:showSerName val="0"/>
          <c:showPercent val="0"/>
          <c:showBubbleSize val="0"/>
        </c:dLbls>
        <c:gapWidth val="135"/>
        <c:axId val="733615504"/>
        <c:axId val="733624240"/>
      </c:barChart>
      <c:catAx>
        <c:axId val="733615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3624240"/>
        <c:crosses val="autoZero"/>
        <c:auto val="1"/>
        <c:lblAlgn val="ctr"/>
        <c:lblOffset val="100"/>
        <c:noMultiLvlLbl val="0"/>
      </c:catAx>
      <c:valAx>
        <c:axId val="7336242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36155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'graph-data'!$E$142</c:f>
              <c:strCache>
                <c:ptCount val="1"/>
                <c:pt idx="0">
                  <c:v>doc_3_scaled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'graph-data'!$D$143:$D$200</c:f>
              <c:strCache>
                <c:ptCount val="58"/>
                <c:pt idx="0">
                  <c:v>Hưng Yên</c:v>
                </c:pt>
                <c:pt idx="1">
                  <c:v>Ninh Bình</c:v>
                </c:pt>
                <c:pt idx="2">
                  <c:v>Cà Mau</c:v>
                </c:pt>
                <c:pt idx="3">
                  <c:v>Thừa Thiên Huế</c:v>
                </c:pt>
                <c:pt idx="4">
                  <c:v>Quảng Bình</c:v>
                </c:pt>
                <c:pt idx="5">
                  <c:v>Tiền Giang</c:v>
                </c:pt>
                <c:pt idx="6">
                  <c:v>Tuyên Quang</c:v>
                </c:pt>
                <c:pt idx="7">
                  <c:v>Nam Định</c:v>
                </c:pt>
                <c:pt idx="8">
                  <c:v>Hà Nội</c:v>
                </c:pt>
                <c:pt idx="9">
                  <c:v>Kon Tum</c:v>
                </c:pt>
                <c:pt idx="10">
                  <c:v>Hậu Giang</c:v>
                </c:pt>
                <c:pt idx="11">
                  <c:v>Đắk Nông</c:v>
                </c:pt>
                <c:pt idx="12">
                  <c:v>Sơn La</c:v>
                </c:pt>
                <c:pt idx="13">
                  <c:v>Lào Cai</c:v>
                </c:pt>
                <c:pt idx="14">
                  <c:v>Hà Giang</c:v>
                </c:pt>
                <c:pt idx="15">
                  <c:v>Bình Phước</c:v>
                </c:pt>
                <c:pt idx="16">
                  <c:v>Long An</c:v>
                </c:pt>
                <c:pt idx="17">
                  <c:v>Bình Dương</c:v>
                </c:pt>
                <c:pt idx="18">
                  <c:v>Cần Thơ</c:v>
                </c:pt>
                <c:pt idx="19">
                  <c:v>Nghệ An</c:v>
                </c:pt>
                <c:pt idx="20">
                  <c:v>Quảng Ngãi</c:v>
                </c:pt>
                <c:pt idx="21">
                  <c:v>TP. Hồ Chí Minh</c:v>
                </c:pt>
                <c:pt idx="22">
                  <c:v>Hải Phòng</c:v>
                </c:pt>
                <c:pt idx="23">
                  <c:v>Thái Nguyên</c:v>
                </c:pt>
                <c:pt idx="24">
                  <c:v>Bắc Kạn</c:v>
                </c:pt>
                <c:pt idx="25">
                  <c:v>Lai Châu</c:v>
                </c:pt>
                <c:pt idx="26">
                  <c:v>An Giang</c:v>
                </c:pt>
                <c:pt idx="27">
                  <c:v>Cao Bằng</c:v>
                </c:pt>
                <c:pt idx="28">
                  <c:v>Trà Vinh</c:v>
                </c:pt>
                <c:pt idx="29">
                  <c:v>Đồng Nai</c:v>
                </c:pt>
                <c:pt idx="30">
                  <c:v>Gia Lai</c:v>
                </c:pt>
                <c:pt idx="31">
                  <c:v>Thanh Hóa</c:v>
                </c:pt>
                <c:pt idx="32">
                  <c:v>Khánh Hòa</c:v>
                </c:pt>
                <c:pt idx="33">
                  <c:v>Quảng Ninh</c:v>
                </c:pt>
                <c:pt idx="34">
                  <c:v>Điện Biên</c:v>
                </c:pt>
                <c:pt idx="35">
                  <c:v>Ninh Thuận</c:v>
                </c:pt>
                <c:pt idx="36">
                  <c:v>Bà Rịa - Vũng Tàu</c:v>
                </c:pt>
                <c:pt idx="37">
                  <c:v>Lạng Sơn</c:v>
                </c:pt>
                <c:pt idx="38">
                  <c:v>Bạc Liêu</c:v>
                </c:pt>
                <c:pt idx="39">
                  <c:v>Sóc Trăng</c:v>
                </c:pt>
                <c:pt idx="40">
                  <c:v>Vĩnh Phúc</c:v>
                </c:pt>
                <c:pt idx="41">
                  <c:v>Tây Ninh</c:v>
                </c:pt>
                <c:pt idx="42">
                  <c:v>Bến Tre</c:v>
                </c:pt>
                <c:pt idx="43">
                  <c:v>Bắc Ninh</c:v>
                </c:pt>
                <c:pt idx="44">
                  <c:v>Bình Thuận</c:v>
                </c:pt>
                <c:pt idx="45">
                  <c:v>Đắk Lắk</c:v>
                </c:pt>
                <c:pt idx="46">
                  <c:v>Lâm Đồng</c:v>
                </c:pt>
                <c:pt idx="47">
                  <c:v>Phú Thọ</c:v>
                </c:pt>
                <c:pt idx="48">
                  <c:v>Thái Bình</c:v>
                </c:pt>
                <c:pt idx="49">
                  <c:v>Quảng Trị</c:v>
                </c:pt>
                <c:pt idx="50">
                  <c:v>Bình Định</c:v>
                </c:pt>
                <c:pt idx="51">
                  <c:v>Yên Bái</c:v>
                </c:pt>
                <c:pt idx="52">
                  <c:v>Đà Nẵng</c:v>
                </c:pt>
                <c:pt idx="53">
                  <c:v>Vĩnh Long</c:v>
                </c:pt>
                <c:pt idx="54">
                  <c:v>Quảng Nam</c:v>
                </c:pt>
                <c:pt idx="55">
                  <c:v>Hà Nam</c:v>
                </c:pt>
                <c:pt idx="56">
                  <c:v>Bắc Giang</c:v>
                </c:pt>
                <c:pt idx="57">
                  <c:v>Hải Dương</c:v>
                </c:pt>
              </c:strCache>
            </c:strRef>
          </c:cat>
          <c:val>
            <c:numRef>
              <c:f>'graph-data'!$E$143:$E$200</c:f>
              <c:numCache>
                <c:formatCode>General</c:formatCode>
                <c:ptCount val="58"/>
                <c:pt idx="0">
                  <c:v>2.12</c:v>
                </c:pt>
                <c:pt idx="1">
                  <c:v>3.81</c:v>
                </c:pt>
                <c:pt idx="2">
                  <c:v>4.24</c:v>
                </c:pt>
                <c:pt idx="3">
                  <c:v>4.24</c:v>
                </c:pt>
                <c:pt idx="4">
                  <c:v>4.66</c:v>
                </c:pt>
                <c:pt idx="5">
                  <c:v>4.66</c:v>
                </c:pt>
                <c:pt idx="6">
                  <c:v>4.66</c:v>
                </c:pt>
                <c:pt idx="7">
                  <c:v>4.66</c:v>
                </c:pt>
                <c:pt idx="8">
                  <c:v>4.66</c:v>
                </c:pt>
                <c:pt idx="9">
                  <c:v>4.66</c:v>
                </c:pt>
                <c:pt idx="10">
                  <c:v>5.08</c:v>
                </c:pt>
                <c:pt idx="11">
                  <c:v>5.08</c:v>
                </c:pt>
                <c:pt idx="12">
                  <c:v>5.08</c:v>
                </c:pt>
                <c:pt idx="13">
                  <c:v>5.08</c:v>
                </c:pt>
                <c:pt idx="14">
                  <c:v>5.08</c:v>
                </c:pt>
                <c:pt idx="15">
                  <c:v>5.08</c:v>
                </c:pt>
                <c:pt idx="16">
                  <c:v>5.08</c:v>
                </c:pt>
                <c:pt idx="17">
                  <c:v>5.08</c:v>
                </c:pt>
                <c:pt idx="18">
                  <c:v>5.08</c:v>
                </c:pt>
                <c:pt idx="19">
                  <c:v>5.51</c:v>
                </c:pt>
                <c:pt idx="20">
                  <c:v>5.51</c:v>
                </c:pt>
                <c:pt idx="21">
                  <c:v>5.51</c:v>
                </c:pt>
                <c:pt idx="22">
                  <c:v>5.51</c:v>
                </c:pt>
                <c:pt idx="23">
                  <c:v>5.51</c:v>
                </c:pt>
                <c:pt idx="24">
                  <c:v>5.51</c:v>
                </c:pt>
                <c:pt idx="25">
                  <c:v>5.51</c:v>
                </c:pt>
                <c:pt idx="26">
                  <c:v>5.51</c:v>
                </c:pt>
                <c:pt idx="27">
                  <c:v>5.51</c:v>
                </c:pt>
                <c:pt idx="28">
                  <c:v>5.51</c:v>
                </c:pt>
                <c:pt idx="29">
                  <c:v>5.93</c:v>
                </c:pt>
                <c:pt idx="30">
                  <c:v>5.93</c:v>
                </c:pt>
                <c:pt idx="31">
                  <c:v>5.93</c:v>
                </c:pt>
                <c:pt idx="32">
                  <c:v>5.93</c:v>
                </c:pt>
                <c:pt idx="33">
                  <c:v>5.93</c:v>
                </c:pt>
                <c:pt idx="34">
                  <c:v>5.93</c:v>
                </c:pt>
                <c:pt idx="35">
                  <c:v>5.93</c:v>
                </c:pt>
                <c:pt idx="36">
                  <c:v>5.93</c:v>
                </c:pt>
                <c:pt idx="37">
                  <c:v>6.36</c:v>
                </c:pt>
                <c:pt idx="38">
                  <c:v>6.36</c:v>
                </c:pt>
                <c:pt idx="39">
                  <c:v>6.36</c:v>
                </c:pt>
                <c:pt idx="40">
                  <c:v>6.36</c:v>
                </c:pt>
                <c:pt idx="41">
                  <c:v>6.36</c:v>
                </c:pt>
                <c:pt idx="42">
                  <c:v>6.36</c:v>
                </c:pt>
                <c:pt idx="43">
                  <c:v>6.36</c:v>
                </c:pt>
                <c:pt idx="44">
                  <c:v>6.36</c:v>
                </c:pt>
                <c:pt idx="45">
                  <c:v>6.78</c:v>
                </c:pt>
                <c:pt idx="46">
                  <c:v>6.78</c:v>
                </c:pt>
                <c:pt idx="47">
                  <c:v>6.78</c:v>
                </c:pt>
                <c:pt idx="48">
                  <c:v>6.78</c:v>
                </c:pt>
                <c:pt idx="49">
                  <c:v>6.78</c:v>
                </c:pt>
                <c:pt idx="50">
                  <c:v>6.78</c:v>
                </c:pt>
                <c:pt idx="51">
                  <c:v>6.78</c:v>
                </c:pt>
                <c:pt idx="52">
                  <c:v>6.78</c:v>
                </c:pt>
                <c:pt idx="53">
                  <c:v>6.78</c:v>
                </c:pt>
                <c:pt idx="54">
                  <c:v>6.78</c:v>
                </c:pt>
                <c:pt idx="55">
                  <c:v>6.78</c:v>
                </c:pt>
                <c:pt idx="56">
                  <c:v>6.78</c:v>
                </c:pt>
                <c:pt idx="57">
                  <c:v>6.78</c:v>
                </c:pt>
              </c:numCache>
            </c:numRef>
          </c:val>
          <c:extLst>
            <c:ext xmlns:c16="http://schemas.microsoft.com/office/drawing/2014/chart" uri="{C3380CC4-5D6E-409C-BE32-E72D297353CC}">
              <c16:uniqueId val="{00000000-772C-4EAA-9F78-B0DB0DB4BE8D}"/>
            </c:ext>
          </c:extLst>
        </c:ser>
        <c:dLbls>
          <c:dLblPos val="outEnd"/>
          <c:showLegendKey val="0"/>
          <c:showVal val="1"/>
          <c:showCatName val="0"/>
          <c:showSerName val="0"/>
          <c:showPercent val="0"/>
          <c:showBubbleSize val="0"/>
        </c:dLbls>
        <c:gapWidth val="182"/>
        <c:axId val="917210768"/>
        <c:axId val="917211600"/>
      </c:barChart>
      <c:catAx>
        <c:axId val="9172107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crossAx val="917211600"/>
        <c:crosses val="autoZero"/>
        <c:auto val="1"/>
        <c:lblAlgn val="ctr"/>
        <c:lblOffset val="100"/>
        <c:tickLblSkip val="1"/>
        <c:noMultiLvlLbl val="0"/>
      </c:catAx>
      <c:valAx>
        <c:axId val="91721160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17210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'graph-data'!$T$52:$T$54</c:f>
              <c:strCache>
                <c:ptCount val="3"/>
                <c:pt idx="0">
                  <c:v>Trong vòng 15 ngày sau khi kết thúc Q1/2019 </c:v>
                </c:pt>
                <c:pt idx="1">
                  <c:v>Sau 15 ngày và trong khoảng 30 ngày kể từ ngày kết thúc quý </c:v>
                </c:pt>
                <c:pt idx="2">
                  <c:v>Sau 30 ngày kể từ ngày kết thúc quý</c:v>
                </c:pt>
              </c:strCache>
            </c:strRef>
          </c:cat>
          <c:val>
            <c:numRef>
              <c:f>'graph-data'!$U$52:$U$54</c:f>
              <c:numCache>
                <c:formatCode>General</c:formatCode>
                <c:ptCount val="3"/>
                <c:pt idx="0">
                  <c:v>27</c:v>
                </c:pt>
                <c:pt idx="1">
                  <c:v>15</c:v>
                </c:pt>
                <c:pt idx="2">
                  <c:v>16</c:v>
                </c:pt>
              </c:numCache>
            </c:numRef>
          </c:val>
          <c:extLst>
            <c:ext xmlns:c16="http://schemas.microsoft.com/office/drawing/2014/chart" uri="{C3380CC4-5D6E-409C-BE32-E72D297353CC}">
              <c16:uniqueId val="{00000000-259F-4A8B-9479-6D64D8EBFCAC}"/>
            </c:ext>
          </c:extLst>
        </c:ser>
        <c:dLbls>
          <c:dLblPos val="outEnd"/>
          <c:showLegendKey val="0"/>
          <c:showVal val="1"/>
          <c:showCatName val="0"/>
          <c:showSerName val="0"/>
          <c:showPercent val="0"/>
          <c:showBubbleSize val="0"/>
        </c:dLbls>
        <c:gapWidth val="219"/>
        <c:overlap val="-27"/>
        <c:axId val="917238640"/>
        <c:axId val="917223248"/>
      </c:barChart>
      <c:catAx>
        <c:axId val="91723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223248"/>
        <c:crosses val="autoZero"/>
        <c:auto val="1"/>
        <c:lblAlgn val="ctr"/>
        <c:lblOffset val="100"/>
        <c:noMultiLvlLbl val="0"/>
      </c:catAx>
      <c:valAx>
        <c:axId val="917223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238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1"/>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2B8-40B6-856B-D7234571711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'graph-data'!$W$56:$W$58</c:f>
              <c:strCache>
                <c:ptCount val="3"/>
                <c:pt idx="0">
                  <c:v>Phản ánh cả 3 biểu trên</c:v>
                </c:pt>
                <c:pt idx="1">
                  <c:v>Chỉ phản ánh 1 đến 2 biểu</c:v>
                </c:pt>
                <c:pt idx="2">
                  <c:v>Không phản ánh theo quy định</c:v>
                </c:pt>
              </c:strCache>
            </c:strRef>
          </c:cat>
          <c:val>
            <c:numRef>
              <c:f>'graph-data'!$U$56:$U$58</c:f>
              <c:numCache>
                <c:formatCode>General</c:formatCode>
                <c:ptCount val="3"/>
                <c:pt idx="0">
                  <c:v>53</c:v>
                </c:pt>
                <c:pt idx="1">
                  <c:v>4</c:v>
                </c:pt>
                <c:pt idx="2">
                  <c:v>1</c:v>
                </c:pt>
              </c:numCache>
            </c:numRef>
          </c:val>
          <c:extLst>
            <c:ext xmlns:c16="http://schemas.microsoft.com/office/drawing/2014/chart" uri="{C3380CC4-5D6E-409C-BE32-E72D297353CC}">
              <c16:uniqueId val="{00000000-72B8-40B6-856B-D72345717115}"/>
            </c:ext>
          </c:extLst>
        </c:ser>
        <c:dLbls>
          <c:dLblPos val="outEnd"/>
          <c:showLegendKey val="0"/>
          <c:showVal val="1"/>
          <c:showCatName val="0"/>
          <c:showSerName val="0"/>
          <c:showPercent val="0"/>
          <c:showBubbleSize val="0"/>
        </c:dLbls>
        <c:gapWidth val="219"/>
        <c:overlap val="-27"/>
        <c:axId val="917224496"/>
        <c:axId val="917225328"/>
      </c:barChart>
      <c:catAx>
        <c:axId val="917224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917225328"/>
        <c:crosses val="autoZero"/>
        <c:auto val="1"/>
        <c:lblAlgn val="ctr"/>
        <c:lblOffset val="100"/>
        <c:noMultiLvlLbl val="0"/>
      </c:catAx>
      <c:valAx>
        <c:axId val="917225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917224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'graph-data'!$H$142</c:f>
              <c:strCache>
                <c:ptCount val="1"/>
                <c:pt idx="0">
                  <c:v>doc_4_scaled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'graph-data'!$G$143:$G$200</c:f>
              <c:strCache>
                <c:ptCount val="58"/>
                <c:pt idx="0">
                  <c:v>Nam Định</c:v>
                </c:pt>
                <c:pt idx="1">
                  <c:v>Kiên Giang</c:v>
                </c:pt>
                <c:pt idx="2">
                  <c:v>Bình Thuận</c:v>
                </c:pt>
                <c:pt idx="3">
                  <c:v>Sơn La</c:v>
                </c:pt>
                <c:pt idx="4">
                  <c:v>Ninh Bình</c:v>
                </c:pt>
                <c:pt idx="5">
                  <c:v>Tuyên Quang</c:v>
                </c:pt>
                <c:pt idx="6">
                  <c:v>Hậu Giang</c:v>
                </c:pt>
                <c:pt idx="7">
                  <c:v>Bình Phước</c:v>
                </c:pt>
                <c:pt idx="8">
                  <c:v>Nghệ An</c:v>
                </c:pt>
                <c:pt idx="9">
                  <c:v>Hà Tĩnh</c:v>
                </c:pt>
                <c:pt idx="10">
                  <c:v>Hưng Yên</c:v>
                </c:pt>
                <c:pt idx="11">
                  <c:v>Cà Mau</c:v>
                </c:pt>
                <c:pt idx="12">
                  <c:v>Hà Nội</c:v>
                </c:pt>
                <c:pt idx="13">
                  <c:v>Đắk Nông</c:v>
                </c:pt>
                <c:pt idx="14">
                  <c:v>Lào Cai</c:v>
                </c:pt>
                <c:pt idx="15">
                  <c:v>Bình Dương</c:v>
                </c:pt>
                <c:pt idx="16">
                  <c:v>Cần Thơ</c:v>
                </c:pt>
                <c:pt idx="17">
                  <c:v>TP. Hồ Chí Minh</c:v>
                </c:pt>
                <c:pt idx="18">
                  <c:v>Hải Phòng</c:v>
                </c:pt>
                <c:pt idx="19">
                  <c:v>Thái Nguyên</c:v>
                </c:pt>
                <c:pt idx="20">
                  <c:v>Quảng Ninh</c:v>
                </c:pt>
                <c:pt idx="21">
                  <c:v>Vĩnh Phúc</c:v>
                </c:pt>
                <c:pt idx="22">
                  <c:v>Thừa Thiên Huế</c:v>
                </c:pt>
                <c:pt idx="23">
                  <c:v>Tiền Giang</c:v>
                </c:pt>
                <c:pt idx="24">
                  <c:v>Hà Giang</c:v>
                </c:pt>
                <c:pt idx="25">
                  <c:v>Long An</c:v>
                </c:pt>
                <c:pt idx="26">
                  <c:v>Quảng Ngãi</c:v>
                </c:pt>
                <c:pt idx="27">
                  <c:v>Bắc Kạn</c:v>
                </c:pt>
                <c:pt idx="28">
                  <c:v>Lai Châu</c:v>
                </c:pt>
                <c:pt idx="29">
                  <c:v>Cao Bằng</c:v>
                </c:pt>
                <c:pt idx="30">
                  <c:v>Trà Vinh</c:v>
                </c:pt>
                <c:pt idx="31">
                  <c:v>Khánh Hòa</c:v>
                </c:pt>
                <c:pt idx="32">
                  <c:v>Điện Biên</c:v>
                </c:pt>
                <c:pt idx="33">
                  <c:v>Lạng Sơn</c:v>
                </c:pt>
                <c:pt idx="34">
                  <c:v>An Giang</c:v>
                </c:pt>
                <c:pt idx="35">
                  <c:v>Sóc Trăng</c:v>
                </c:pt>
                <c:pt idx="36">
                  <c:v>Tây Ninh</c:v>
                </c:pt>
                <c:pt idx="37">
                  <c:v>Đắk Lắk</c:v>
                </c:pt>
                <c:pt idx="38">
                  <c:v>Lâm Đồng</c:v>
                </c:pt>
                <c:pt idx="39">
                  <c:v>Quảng Trị</c:v>
                </c:pt>
                <c:pt idx="40">
                  <c:v>Quảng Nam</c:v>
                </c:pt>
                <c:pt idx="41">
                  <c:v>Kon Tum</c:v>
                </c:pt>
                <c:pt idx="42">
                  <c:v>Đồng Nai</c:v>
                </c:pt>
                <c:pt idx="43">
                  <c:v>Gia Lai</c:v>
                </c:pt>
                <c:pt idx="44">
                  <c:v>Thanh Hóa</c:v>
                </c:pt>
                <c:pt idx="45">
                  <c:v>Ninh Thuận</c:v>
                </c:pt>
                <c:pt idx="46">
                  <c:v>Bà Rịa - Vũng Tàu</c:v>
                </c:pt>
                <c:pt idx="47">
                  <c:v>Bạc Liêu</c:v>
                </c:pt>
                <c:pt idx="48">
                  <c:v>Bắc Ninh</c:v>
                </c:pt>
                <c:pt idx="49">
                  <c:v>Phú Thọ</c:v>
                </c:pt>
                <c:pt idx="50">
                  <c:v>Thái Bình</c:v>
                </c:pt>
                <c:pt idx="51">
                  <c:v>Bình Định</c:v>
                </c:pt>
                <c:pt idx="52">
                  <c:v>Yên Bái</c:v>
                </c:pt>
                <c:pt idx="53">
                  <c:v>Đà Nẵng</c:v>
                </c:pt>
                <c:pt idx="54">
                  <c:v>Vĩnh Long</c:v>
                </c:pt>
                <c:pt idx="55">
                  <c:v>Hà Nam</c:v>
                </c:pt>
                <c:pt idx="56">
                  <c:v>Bắc Giang</c:v>
                </c:pt>
                <c:pt idx="57">
                  <c:v>Hải Dương</c:v>
                </c:pt>
              </c:strCache>
            </c:strRef>
          </c:cat>
          <c:val>
            <c:numRef>
              <c:f>'graph-data'!$H$143:$H$200</c:f>
              <c:numCache>
                <c:formatCode>General</c:formatCode>
                <c:ptCount val="58"/>
                <c:pt idx="0">
                  <c:v>1.27</c:v>
                </c:pt>
                <c:pt idx="1">
                  <c:v>3.81</c:v>
                </c:pt>
                <c:pt idx="2">
                  <c:v>3.81</c:v>
                </c:pt>
                <c:pt idx="3">
                  <c:v>4.24</c:v>
                </c:pt>
                <c:pt idx="4">
                  <c:v>4.66</c:v>
                </c:pt>
                <c:pt idx="5">
                  <c:v>4.66</c:v>
                </c:pt>
                <c:pt idx="6">
                  <c:v>5.08</c:v>
                </c:pt>
                <c:pt idx="7">
                  <c:v>5.08</c:v>
                </c:pt>
                <c:pt idx="8">
                  <c:v>5.08</c:v>
                </c:pt>
                <c:pt idx="9">
                  <c:v>5.51</c:v>
                </c:pt>
                <c:pt idx="10">
                  <c:v>5.51</c:v>
                </c:pt>
                <c:pt idx="11">
                  <c:v>5.51</c:v>
                </c:pt>
                <c:pt idx="12">
                  <c:v>5.51</c:v>
                </c:pt>
                <c:pt idx="13">
                  <c:v>5.51</c:v>
                </c:pt>
                <c:pt idx="14">
                  <c:v>5.51</c:v>
                </c:pt>
                <c:pt idx="15">
                  <c:v>5.51</c:v>
                </c:pt>
                <c:pt idx="16">
                  <c:v>5.51</c:v>
                </c:pt>
                <c:pt idx="17">
                  <c:v>5.51</c:v>
                </c:pt>
                <c:pt idx="18">
                  <c:v>5.51</c:v>
                </c:pt>
                <c:pt idx="19">
                  <c:v>5.51</c:v>
                </c:pt>
                <c:pt idx="20">
                  <c:v>5.51</c:v>
                </c:pt>
                <c:pt idx="21">
                  <c:v>5.51</c:v>
                </c:pt>
                <c:pt idx="22">
                  <c:v>5.93</c:v>
                </c:pt>
                <c:pt idx="23">
                  <c:v>5.93</c:v>
                </c:pt>
                <c:pt idx="24">
                  <c:v>5.93</c:v>
                </c:pt>
                <c:pt idx="25">
                  <c:v>5.93</c:v>
                </c:pt>
                <c:pt idx="26">
                  <c:v>5.93</c:v>
                </c:pt>
                <c:pt idx="27">
                  <c:v>5.93</c:v>
                </c:pt>
                <c:pt idx="28">
                  <c:v>5.93</c:v>
                </c:pt>
                <c:pt idx="29">
                  <c:v>5.93</c:v>
                </c:pt>
                <c:pt idx="30">
                  <c:v>5.93</c:v>
                </c:pt>
                <c:pt idx="31">
                  <c:v>5.93</c:v>
                </c:pt>
                <c:pt idx="32">
                  <c:v>5.93</c:v>
                </c:pt>
                <c:pt idx="33">
                  <c:v>5.93</c:v>
                </c:pt>
                <c:pt idx="34">
                  <c:v>6.36</c:v>
                </c:pt>
                <c:pt idx="35">
                  <c:v>6.36</c:v>
                </c:pt>
                <c:pt idx="36">
                  <c:v>6.36</c:v>
                </c:pt>
                <c:pt idx="37">
                  <c:v>6.36</c:v>
                </c:pt>
                <c:pt idx="38">
                  <c:v>6.36</c:v>
                </c:pt>
                <c:pt idx="39">
                  <c:v>6.36</c:v>
                </c:pt>
                <c:pt idx="40">
                  <c:v>6.36</c:v>
                </c:pt>
                <c:pt idx="41">
                  <c:v>6.78</c:v>
                </c:pt>
                <c:pt idx="42">
                  <c:v>6.78</c:v>
                </c:pt>
                <c:pt idx="43">
                  <c:v>6.78</c:v>
                </c:pt>
                <c:pt idx="44">
                  <c:v>6.78</c:v>
                </c:pt>
                <c:pt idx="45">
                  <c:v>6.78</c:v>
                </c:pt>
                <c:pt idx="46">
                  <c:v>6.78</c:v>
                </c:pt>
                <c:pt idx="47">
                  <c:v>6.78</c:v>
                </c:pt>
                <c:pt idx="48">
                  <c:v>6.78</c:v>
                </c:pt>
                <c:pt idx="49">
                  <c:v>6.78</c:v>
                </c:pt>
                <c:pt idx="50">
                  <c:v>6.78</c:v>
                </c:pt>
                <c:pt idx="51">
                  <c:v>6.78</c:v>
                </c:pt>
                <c:pt idx="52">
                  <c:v>6.78</c:v>
                </c:pt>
                <c:pt idx="53">
                  <c:v>6.78</c:v>
                </c:pt>
                <c:pt idx="54">
                  <c:v>6.78</c:v>
                </c:pt>
                <c:pt idx="55">
                  <c:v>6.78</c:v>
                </c:pt>
                <c:pt idx="56">
                  <c:v>6.78</c:v>
                </c:pt>
                <c:pt idx="57">
                  <c:v>6.78</c:v>
                </c:pt>
              </c:numCache>
            </c:numRef>
          </c:val>
          <c:extLst>
            <c:ext xmlns:c16="http://schemas.microsoft.com/office/drawing/2014/chart" uri="{C3380CC4-5D6E-409C-BE32-E72D297353CC}">
              <c16:uniqueId val="{00000000-7968-463D-AED2-57E9EFF2F2C3}"/>
            </c:ext>
          </c:extLst>
        </c:ser>
        <c:dLbls>
          <c:dLblPos val="outEnd"/>
          <c:showLegendKey val="0"/>
          <c:showVal val="1"/>
          <c:showCatName val="0"/>
          <c:showSerName val="0"/>
          <c:showPercent val="0"/>
          <c:showBubbleSize val="0"/>
        </c:dLbls>
        <c:gapWidth val="182"/>
        <c:axId val="917208272"/>
        <c:axId val="917229488"/>
      </c:barChart>
      <c:catAx>
        <c:axId val="917208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229488"/>
        <c:crosses val="autoZero"/>
        <c:auto val="1"/>
        <c:lblAlgn val="ctr"/>
        <c:lblOffset val="100"/>
        <c:tickLblSkip val="1"/>
        <c:noMultiLvlLbl val="0"/>
      </c:catAx>
      <c:valAx>
        <c:axId val="9172294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208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'graph-data'!$W$52:$W$54</c:f>
              <c:strCache>
                <c:ptCount val="3"/>
                <c:pt idx="0">
                  <c:v>Trong vòng 15 ngày sau khi kết thúc Q2/2018 </c:v>
                </c:pt>
                <c:pt idx="1">
                  <c:v>Sau 15 ngày và trong khoảng 30 ngày kể từ ngày kết thúc quý </c:v>
                </c:pt>
                <c:pt idx="2">
                  <c:v>Sau 30 ngày kể từ ngày kết thúc quý</c:v>
                </c:pt>
              </c:strCache>
            </c:strRef>
          </c:cat>
          <c:val>
            <c:numRef>
              <c:f>'graph-data'!$X$52:$X$54</c:f>
              <c:numCache>
                <c:formatCode>General</c:formatCode>
                <c:ptCount val="3"/>
                <c:pt idx="0">
                  <c:v>34</c:v>
                </c:pt>
                <c:pt idx="1">
                  <c:v>11</c:v>
                </c:pt>
                <c:pt idx="2">
                  <c:v>13</c:v>
                </c:pt>
              </c:numCache>
            </c:numRef>
          </c:val>
          <c:extLst>
            <c:ext xmlns:c16="http://schemas.microsoft.com/office/drawing/2014/chart" uri="{C3380CC4-5D6E-409C-BE32-E72D297353CC}">
              <c16:uniqueId val="{00000000-39F5-444A-8882-4ADCEB289D63}"/>
            </c:ext>
          </c:extLst>
        </c:ser>
        <c:dLbls>
          <c:dLblPos val="outEnd"/>
          <c:showLegendKey val="0"/>
          <c:showVal val="1"/>
          <c:showCatName val="0"/>
          <c:showSerName val="0"/>
          <c:showPercent val="0"/>
          <c:showBubbleSize val="0"/>
        </c:dLbls>
        <c:gapWidth val="219"/>
        <c:overlap val="-27"/>
        <c:axId val="917209936"/>
        <c:axId val="917208688"/>
      </c:barChart>
      <c:catAx>
        <c:axId val="917209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208688"/>
        <c:crosses val="autoZero"/>
        <c:auto val="1"/>
        <c:lblAlgn val="ctr"/>
        <c:lblOffset val="100"/>
        <c:noMultiLvlLbl val="0"/>
      </c:catAx>
      <c:valAx>
        <c:axId val="917208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209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'graph-data'!$W$56:$W$58</c:f>
              <c:strCache>
                <c:ptCount val="3"/>
                <c:pt idx="0">
                  <c:v>Phản ánh cả 3 biểu trên</c:v>
                </c:pt>
                <c:pt idx="1">
                  <c:v>Chỉ phản ánh 1 đến 2 biểu</c:v>
                </c:pt>
                <c:pt idx="2">
                  <c:v>Không phản ánh theo quy định</c:v>
                </c:pt>
              </c:strCache>
            </c:strRef>
          </c:cat>
          <c:val>
            <c:numRef>
              <c:f>'graph-data'!$X$56:$X$58</c:f>
              <c:numCache>
                <c:formatCode>General</c:formatCode>
                <c:ptCount val="3"/>
                <c:pt idx="0">
                  <c:v>52</c:v>
                </c:pt>
                <c:pt idx="1">
                  <c:v>4</c:v>
                </c:pt>
                <c:pt idx="2">
                  <c:v>2</c:v>
                </c:pt>
              </c:numCache>
            </c:numRef>
          </c:val>
          <c:extLst>
            <c:ext xmlns:c16="http://schemas.microsoft.com/office/drawing/2014/chart" uri="{C3380CC4-5D6E-409C-BE32-E72D297353CC}">
              <c16:uniqueId val="{00000000-E70C-43E3-9D20-FFCEE502C7CE}"/>
            </c:ext>
          </c:extLst>
        </c:ser>
        <c:dLbls>
          <c:dLblPos val="outEnd"/>
          <c:showLegendKey val="0"/>
          <c:showVal val="1"/>
          <c:showCatName val="0"/>
          <c:showSerName val="0"/>
          <c:showPercent val="0"/>
          <c:showBubbleSize val="0"/>
        </c:dLbls>
        <c:gapWidth val="219"/>
        <c:overlap val="-27"/>
        <c:axId val="722729952"/>
        <c:axId val="722727040"/>
      </c:barChart>
      <c:catAx>
        <c:axId val="722729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2727040"/>
        <c:crosses val="autoZero"/>
        <c:auto val="1"/>
        <c:lblAlgn val="ctr"/>
        <c:lblOffset val="100"/>
        <c:noMultiLvlLbl val="0"/>
      </c:catAx>
      <c:valAx>
        <c:axId val="722727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2729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'graph-data'!$K$142</c:f>
              <c:strCache>
                <c:ptCount val="1"/>
                <c:pt idx="0">
                  <c:v>doc_5_scaled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'graph-data'!$J$143:$J$197</c:f>
              <c:strCache>
                <c:ptCount val="55"/>
                <c:pt idx="0">
                  <c:v>Thừa Thiên Huế</c:v>
                </c:pt>
                <c:pt idx="1">
                  <c:v>Phú Yên</c:v>
                </c:pt>
                <c:pt idx="2">
                  <c:v>Sơn La</c:v>
                </c:pt>
                <c:pt idx="3">
                  <c:v>Ninh Bình</c:v>
                </c:pt>
                <c:pt idx="4">
                  <c:v>Tuyên Quang</c:v>
                </c:pt>
                <c:pt idx="5">
                  <c:v>Bình Phước</c:v>
                </c:pt>
                <c:pt idx="6">
                  <c:v>Bến Tre</c:v>
                </c:pt>
                <c:pt idx="7">
                  <c:v>Nam Định</c:v>
                </c:pt>
                <c:pt idx="8">
                  <c:v>Cần Thơ</c:v>
                </c:pt>
                <c:pt idx="9">
                  <c:v>Hưng Yên</c:v>
                </c:pt>
                <c:pt idx="10">
                  <c:v>Hà Nội</c:v>
                </c:pt>
                <c:pt idx="11">
                  <c:v>Lào Cai</c:v>
                </c:pt>
                <c:pt idx="12">
                  <c:v>Hải Phòng</c:v>
                </c:pt>
                <c:pt idx="13">
                  <c:v>Thái Nguyên</c:v>
                </c:pt>
                <c:pt idx="14">
                  <c:v>Quảng Ninh</c:v>
                </c:pt>
                <c:pt idx="15">
                  <c:v>Hà Giang</c:v>
                </c:pt>
                <c:pt idx="16">
                  <c:v>Long An</c:v>
                </c:pt>
                <c:pt idx="17">
                  <c:v>Lai Châu</c:v>
                </c:pt>
                <c:pt idx="18">
                  <c:v>Trà Vinh</c:v>
                </c:pt>
                <c:pt idx="19">
                  <c:v>An Giang</c:v>
                </c:pt>
                <c:pt idx="20">
                  <c:v>Nghệ An</c:v>
                </c:pt>
                <c:pt idx="21">
                  <c:v>Đắk Nông</c:v>
                </c:pt>
                <c:pt idx="22">
                  <c:v>TP. Hồ Chí Minh</c:v>
                </c:pt>
                <c:pt idx="23">
                  <c:v>Tiền Giang</c:v>
                </c:pt>
                <c:pt idx="24">
                  <c:v>Khánh Hòa</c:v>
                </c:pt>
                <c:pt idx="25">
                  <c:v>Điện Biên</c:v>
                </c:pt>
                <c:pt idx="26">
                  <c:v>Lạng Sơn</c:v>
                </c:pt>
                <c:pt idx="27">
                  <c:v>Bình Thuận</c:v>
                </c:pt>
                <c:pt idx="28">
                  <c:v>Vĩnh Phúc</c:v>
                </c:pt>
                <c:pt idx="29">
                  <c:v>Quảng Ngãi</c:v>
                </c:pt>
                <c:pt idx="30">
                  <c:v>Bắc Kạn</c:v>
                </c:pt>
                <c:pt idx="31">
                  <c:v>Tây Ninh</c:v>
                </c:pt>
                <c:pt idx="32">
                  <c:v>Đắk Lắk</c:v>
                </c:pt>
                <c:pt idx="33">
                  <c:v>Hà Nam</c:v>
                </c:pt>
                <c:pt idx="34">
                  <c:v>Bình Dương</c:v>
                </c:pt>
                <c:pt idx="35">
                  <c:v>Cao Bằng</c:v>
                </c:pt>
                <c:pt idx="36">
                  <c:v>Sóc Trăng</c:v>
                </c:pt>
                <c:pt idx="37">
                  <c:v>Lâm Đồng</c:v>
                </c:pt>
                <c:pt idx="38">
                  <c:v>Quảng Trị</c:v>
                </c:pt>
                <c:pt idx="39">
                  <c:v>Quảng Nam</c:v>
                </c:pt>
                <c:pt idx="40">
                  <c:v>Kon Tum</c:v>
                </c:pt>
                <c:pt idx="41">
                  <c:v>Đồng Nai</c:v>
                </c:pt>
                <c:pt idx="42">
                  <c:v>Gia Lai</c:v>
                </c:pt>
                <c:pt idx="43">
                  <c:v>Thanh Hóa</c:v>
                </c:pt>
                <c:pt idx="44">
                  <c:v>Ninh Thuận</c:v>
                </c:pt>
                <c:pt idx="45">
                  <c:v>Bà Rịa - Vũng Tàu</c:v>
                </c:pt>
                <c:pt idx="46">
                  <c:v>Bắc Ninh</c:v>
                </c:pt>
                <c:pt idx="47">
                  <c:v>Phú Thọ</c:v>
                </c:pt>
                <c:pt idx="48">
                  <c:v>Thái Bình</c:v>
                </c:pt>
                <c:pt idx="49">
                  <c:v>Bình Định</c:v>
                </c:pt>
                <c:pt idx="50">
                  <c:v>Yên Bái</c:v>
                </c:pt>
                <c:pt idx="51">
                  <c:v>Đà Nẵng</c:v>
                </c:pt>
                <c:pt idx="52">
                  <c:v>Vĩnh Long</c:v>
                </c:pt>
                <c:pt idx="53">
                  <c:v>Bắc Giang</c:v>
                </c:pt>
                <c:pt idx="54">
                  <c:v>Hải Dương</c:v>
                </c:pt>
              </c:strCache>
            </c:strRef>
          </c:cat>
          <c:val>
            <c:numRef>
              <c:f>'graph-data'!$K$143:$K$197</c:f>
              <c:numCache>
                <c:formatCode>General</c:formatCode>
                <c:ptCount val="55"/>
                <c:pt idx="0">
                  <c:v>4.24</c:v>
                </c:pt>
                <c:pt idx="1">
                  <c:v>4.66</c:v>
                </c:pt>
                <c:pt idx="2">
                  <c:v>4.66</c:v>
                </c:pt>
                <c:pt idx="3">
                  <c:v>4.66</c:v>
                </c:pt>
                <c:pt idx="4">
                  <c:v>4.66</c:v>
                </c:pt>
                <c:pt idx="5">
                  <c:v>4.66</c:v>
                </c:pt>
                <c:pt idx="6">
                  <c:v>5.08</c:v>
                </c:pt>
                <c:pt idx="7">
                  <c:v>5.08</c:v>
                </c:pt>
                <c:pt idx="8">
                  <c:v>5.08</c:v>
                </c:pt>
                <c:pt idx="9">
                  <c:v>5.51</c:v>
                </c:pt>
                <c:pt idx="10">
                  <c:v>5.51</c:v>
                </c:pt>
                <c:pt idx="11">
                  <c:v>5.51</c:v>
                </c:pt>
                <c:pt idx="12">
                  <c:v>5.51</c:v>
                </c:pt>
                <c:pt idx="13">
                  <c:v>5.51</c:v>
                </c:pt>
                <c:pt idx="14">
                  <c:v>5.51</c:v>
                </c:pt>
                <c:pt idx="15">
                  <c:v>5.51</c:v>
                </c:pt>
                <c:pt idx="16">
                  <c:v>5.51</c:v>
                </c:pt>
                <c:pt idx="17">
                  <c:v>5.51</c:v>
                </c:pt>
                <c:pt idx="18">
                  <c:v>5.51</c:v>
                </c:pt>
                <c:pt idx="19">
                  <c:v>5.51</c:v>
                </c:pt>
                <c:pt idx="20">
                  <c:v>5.93</c:v>
                </c:pt>
                <c:pt idx="21">
                  <c:v>5.93</c:v>
                </c:pt>
                <c:pt idx="22">
                  <c:v>5.93</c:v>
                </c:pt>
                <c:pt idx="23">
                  <c:v>5.93</c:v>
                </c:pt>
                <c:pt idx="24">
                  <c:v>5.93</c:v>
                </c:pt>
                <c:pt idx="25">
                  <c:v>5.93</c:v>
                </c:pt>
                <c:pt idx="26">
                  <c:v>5.93</c:v>
                </c:pt>
                <c:pt idx="27">
                  <c:v>6.36</c:v>
                </c:pt>
                <c:pt idx="28">
                  <c:v>6.36</c:v>
                </c:pt>
                <c:pt idx="29">
                  <c:v>6.36</c:v>
                </c:pt>
                <c:pt idx="30">
                  <c:v>6.36</c:v>
                </c:pt>
                <c:pt idx="31">
                  <c:v>6.36</c:v>
                </c:pt>
                <c:pt idx="32">
                  <c:v>6.36</c:v>
                </c:pt>
                <c:pt idx="33">
                  <c:v>6.36</c:v>
                </c:pt>
                <c:pt idx="34">
                  <c:v>6.78</c:v>
                </c:pt>
                <c:pt idx="35">
                  <c:v>6.78</c:v>
                </c:pt>
                <c:pt idx="36">
                  <c:v>6.78</c:v>
                </c:pt>
                <c:pt idx="37">
                  <c:v>6.78</c:v>
                </c:pt>
                <c:pt idx="38">
                  <c:v>6.78</c:v>
                </c:pt>
                <c:pt idx="39">
                  <c:v>6.78</c:v>
                </c:pt>
                <c:pt idx="40">
                  <c:v>6.78</c:v>
                </c:pt>
                <c:pt idx="41">
                  <c:v>6.78</c:v>
                </c:pt>
                <c:pt idx="42">
                  <c:v>6.78</c:v>
                </c:pt>
                <c:pt idx="43">
                  <c:v>6.78</c:v>
                </c:pt>
                <c:pt idx="44">
                  <c:v>6.78</c:v>
                </c:pt>
                <c:pt idx="45">
                  <c:v>6.78</c:v>
                </c:pt>
                <c:pt idx="46">
                  <c:v>6.78</c:v>
                </c:pt>
                <c:pt idx="47">
                  <c:v>6.78</c:v>
                </c:pt>
                <c:pt idx="48">
                  <c:v>6.78</c:v>
                </c:pt>
                <c:pt idx="49">
                  <c:v>6.78</c:v>
                </c:pt>
                <c:pt idx="50">
                  <c:v>6.78</c:v>
                </c:pt>
                <c:pt idx="51">
                  <c:v>6.78</c:v>
                </c:pt>
                <c:pt idx="52">
                  <c:v>6.78</c:v>
                </c:pt>
                <c:pt idx="53">
                  <c:v>6.78</c:v>
                </c:pt>
                <c:pt idx="54">
                  <c:v>6.78</c:v>
                </c:pt>
              </c:numCache>
            </c:numRef>
          </c:val>
          <c:extLst>
            <c:ext xmlns:c16="http://schemas.microsoft.com/office/drawing/2014/chart" uri="{C3380CC4-5D6E-409C-BE32-E72D297353CC}">
              <c16:uniqueId val="{00000000-3908-4F23-8F69-08FE30400C96}"/>
            </c:ext>
          </c:extLst>
        </c:ser>
        <c:dLbls>
          <c:dLblPos val="outEnd"/>
          <c:showLegendKey val="0"/>
          <c:showVal val="1"/>
          <c:showCatName val="0"/>
          <c:showSerName val="0"/>
          <c:showPercent val="0"/>
          <c:showBubbleSize val="0"/>
        </c:dLbls>
        <c:gapWidth val="182"/>
        <c:axId val="917238224"/>
        <c:axId val="917239888"/>
      </c:barChart>
      <c:catAx>
        <c:axId val="917238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239888"/>
        <c:crosses val="autoZero"/>
        <c:auto val="1"/>
        <c:lblAlgn val="ctr"/>
        <c:lblOffset val="100"/>
        <c:tickLblSkip val="1"/>
        <c:noMultiLvlLbl val="0"/>
      </c:catAx>
      <c:valAx>
        <c:axId val="9172398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238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3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'graph-data'!$Z$52:$Z$54</c:f>
              <c:strCache>
                <c:ptCount val="3"/>
                <c:pt idx="0">
                  <c:v>Trong vòng 15 ngày sau khi kết thúc Q3/2019 </c:v>
                </c:pt>
                <c:pt idx="1">
                  <c:v>Sau 15 ngày và trong khoảng 30 ngày kể từ ngày kết thúc quý </c:v>
                </c:pt>
                <c:pt idx="2">
                  <c:v>Sau 30 ngày kể từ ngày kết thúc quý </c:v>
                </c:pt>
              </c:strCache>
            </c:strRef>
          </c:cat>
          <c:val>
            <c:numRef>
              <c:f>'graph-data'!$AA$52:$AA$54</c:f>
              <c:numCache>
                <c:formatCode>General</c:formatCode>
                <c:ptCount val="3"/>
                <c:pt idx="0">
                  <c:v>32</c:v>
                </c:pt>
                <c:pt idx="1">
                  <c:v>12</c:v>
                </c:pt>
                <c:pt idx="2">
                  <c:v>11</c:v>
                </c:pt>
              </c:numCache>
            </c:numRef>
          </c:val>
          <c:extLst>
            <c:ext xmlns:c16="http://schemas.microsoft.com/office/drawing/2014/chart" uri="{C3380CC4-5D6E-409C-BE32-E72D297353CC}">
              <c16:uniqueId val="{00000000-ACFC-4F5E-9282-6FAF7E44EF7D}"/>
            </c:ext>
          </c:extLst>
        </c:ser>
        <c:dLbls>
          <c:dLblPos val="outEnd"/>
          <c:showLegendKey val="0"/>
          <c:showVal val="1"/>
          <c:showCatName val="0"/>
          <c:showSerName val="0"/>
          <c:showPercent val="0"/>
          <c:showBubbleSize val="0"/>
        </c:dLbls>
        <c:gapWidth val="219"/>
        <c:overlap val="-27"/>
        <c:axId val="804847520"/>
        <c:axId val="722727456"/>
      </c:barChart>
      <c:catAx>
        <c:axId val="804847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722727456"/>
        <c:crosses val="autoZero"/>
        <c:auto val="1"/>
        <c:lblAlgn val="ctr"/>
        <c:lblOffset val="100"/>
        <c:noMultiLvlLbl val="0"/>
      </c:catAx>
      <c:valAx>
        <c:axId val="722727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300" b="0" i="0" u="none" strike="noStrike" kern="1200" baseline="0">
                <a:solidFill>
                  <a:schemeClr val="tx1">
                    <a:lumMod val="65000"/>
                    <a:lumOff val="35000"/>
                  </a:schemeClr>
                </a:solidFill>
                <a:latin typeface="+mn-lt"/>
                <a:ea typeface="+mn-ea"/>
                <a:cs typeface="+mn-cs"/>
              </a:defRPr>
            </a:pPr>
            <a:endParaRPr lang="en-US"/>
          </a:p>
        </c:txPr>
        <c:crossAx val="804847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3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'graph-data'!$Z$56:$Z$58</c:f>
              <c:strCache>
                <c:ptCount val="3"/>
                <c:pt idx="0">
                  <c:v>Phản ánh cả 3 biểu trên</c:v>
                </c:pt>
                <c:pt idx="1">
                  <c:v>Chỉ phản ánh 1 đến 2 biểu</c:v>
                </c:pt>
                <c:pt idx="2">
                  <c:v>Không phản ánh theo quy định</c:v>
                </c:pt>
              </c:strCache>
            </c:strRef>
          </c:cat>
          <c:val>
            <c:numRef>
              <c:f>'graph-data'!$AA$56:$AA$58</c:f>
              <c:numCache>
                <c:formatCode>General</c:formatCode>
                <c:ptCount val="3"/>
                <c:pt idx="0">
                  <c:v>53</c:v>
                </c:pt>
                <c:pt idx="1">
                  <c:v>2</c:v>
                </c:pt>
                <c:pt idx="2">
                  <c:v>0</c:v>
                </c:pt>
              </c:numCache>
            </c:numRef>
          </c:val>
          <c:extLst>
            <c:ext xmlns:c16="http://schemas.microsoft.com/office/drawing/2014/chart" uri="{C3380CC4-5D6E-409C-BE32-E72D297353CC}">
              <c16:uniqueId val="{00000000-2CF6-4E9D-B270-39A13AA5D3D7}"/>
            </c:ext>
          </c:extLst>
        </c:ser>
        <c:dLbls>
          <c:dLblPos val="outEnd"/>
          <c:showLegendKey val="0"/>
          <c:showVal val="1"/>
          <c:showCatName val="0"/>
          <c:showSerName val="0"/>
          <c:showPercent val="0"/>
          <c:showBubbleSize val="0"/>
        </c:dLbls>
        <c:gapWidth val="219"/>
        <c:overlap val="-27"/>
        <c:axId val="804847936"/>
        <c:axId val="804845440"/>
      </c:barChart>
      <c:catAx>
        <c:axId val="80484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300" b="0" i="0" u="none" strike="noStrike" kern="1200" baseline="0">
                <a:solidFill>
                  <a:schemeClr val="tx1">
                    <a:lumMod val="65000"/>
                    <a:lumOff val="35000"/>
                  </a:schemeClr>
                </a:solidFill>
                <a:latin typeface="+mn-lt"/>
                <a:ea typeface="+mn-ea"/>
                <a:cs typeface="+mn-cs"/>
              </a:defRPr>
            </a:pPr>
            <a:endParaRPr lang="en-US"/>
          </a:p>
        </c:txPr>
        <c:crossAx val="804845440"/>
        <c:crosses val="autoZero"/>
        <c:auto val="1"/>
        <c:lblAlgn val="ctr"/>
        <c:lblOffset val="100"/>
        <c:noMultiLvlLbl val="0"/>
      </c:catAx>
      <c:valAx>
        <c:axId val="804845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300" b="0" i="0" u="none" strike="noStrike" kern="1200" baseline="0">
                <a:solidFill>
                  <a:schemeClr val="tx1">
                    <a:lumMod val="65000"/>
                    <a:lumOff val="35000"/>
                  </a:schemeClr>
                </a:solidFill>
                <a:latin typeface="+mn-lt"/>
                <a:ea typeface="+mn-ea"/>
                <a:cs typeface="+mn-cs"/>
              </a:defRPr>
            </a:pPr>
            <a:endParaRPr lang="en-US"/>
          </a:p>
        </c:txPr>
        <c:crossAx val="804847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'graph-data'!$N$142</c:f>
              <c:strCache>
                <c:ptCount val="1"/>
                <c:pt idx="0">
                  <c:v>doc_6_scaled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'graph-data'!$M$143:$M$196</c:f>
              <c:strCache>
                <c:ptCount val="54"/>
                <c:pt idx="0">
                  <c:v>Bình Phước</c:v>
                </c:pt>
                <c:pt idx="1">
                  <c:v>Ninh Bình</c:v>
                </c:pt>
                <c:pt idx="2">
                  <c:v>Vĩnh Phúc</c:v>
                </c:pt>
                <c:pt idx="3">
                  <c:v>Phú Yên</c:v>
                </c:pt>
                <c:pt idx="4">
                  <c:v>An Giang</c:v>
                </c:pt>
                <c:pt idx="5">
                  <c:v>Hà Tĩnh</c:v>
                </c:pt>
                <c:pt idx="6">
                  <c:v>Hưng Yên</c:v>
                </c:pt>
                <c:pt idx="7">
                  <c:v>Hải Phòng</c:v>
                </c:pt>
                <c:pt idx="8">
                  <c:v>TP. Hồ Chí Minh</c:v>
                </c:pt>
                <c:pt idx="9">
                  <c:v>Cà Mau</c:v>
                </c:pt>
                <c:pt idx="10">
                  <c:v>Thừa Thiên Huế</c:v>
                </c:pt>
                <c:pt idx="11">
                  <c:v>Cần Thơ</c:v>
                </c:pt>
                <c:pt idx="12">
                  <c:v>Kon Tum</c:v>
                </c:pt>
                <c:pt idx="13">
                  <c:v>Hậu Giang</c:v>
                </c:pt>
                <c:pt idx="14">
                  <c:v>Sơn La</c:v>
                </c:pt>
                <c:pt idx="15">
                  <c:v>Long An</c:v>
                </c:pt>
                <c:pt idx="16">
                  <c:v>Đắk Nông</c:v>
                </c:pt>
                <c:pt idx="17">
                  <c:v>Điện Biên</c:v>
                </c:pt>
                <c:pt idx="18">
                  <c:v>Quảng Bình</c:v>
                </c:pt>
                <c:pt idx="19">
                  <c:v>Hà Nội</c:v>
                </c:pt>
                <c:pt idx="20">
                  <c:v>Thái Nguyên</c:v>
                </c:pt>
                <c:pt idx="21">
                  <c:v>Quảng Ninh</c:v>
                </c:pt>
                <c:pt idx="22">
                  <c:v>Trà Vinh</c:v>
                </c:pt>
                <c:pt idx="23">
                  <c:v>Khánh Hòa</c:v>
                </c:pt>
                <c:pt idx="24">
                  <c:v>Thanh Hóa</c:v>
                </c:pt>
                <c:pt idx="25">
                  <c:v>Bắc Ninh</c:v>
                </c:pt>
                <c:pt idx="26">
                  <c:v>Kiên Giang</c:v>
                </c:pt>
                <c:pt idx="27">
                  <c:v>Lai Châu</c:v>
                </c:pt>
                <c:pt idx="28">
                  <c:v>Tiền Giang</c:v>
                </c:pt>
                <c:pt idx="29">
                  <c:v>Quảng Ngãi</c:v>
                </c:pt>
                <c:pt idx="30">
                  <c:v>Sóc Trăng</c:v>
                </c:pt>
                <c:pt idx="31">
                  <c:v>Lâm Đồng</c:v>
                </c:pt>
                <c:pt idx="32">
                  <c:v>Phú Thọ</c:v>
                </c:pt>
                <c:pt idx="33">
                  <c:v>Lào Cai</c:v>
                </c:pt>
                <c:pt idx="34">
                  <c:v>Gia Lai</c:v>
                </c:pt>
                <c:pt idx="35">
                  <c:v>Thái Bình</c:v>
                </c:pt>
                <c:pt idx="36">
                  <c:v>Yên Bái</c:v>
                </c:pt>
                <c:pt idx="37">
                  <c:v>Đà Nẵng</c:v>
                </c:pt>
                <c:pt idx="38">
                  <c:v>Bạc Liêu</c:v>
                </c:pt>
                <c:pt idx="39">
                  <c:v>Bình Thuận</c:v>
                </c:pt>
                <c:pt idx="40">
                  <c:v>Bắc Kạn</c:v>
                </c:pt>
                <c:pt idx="41">
                  <c:v>Tây Ninh</c:v>
                </c:pt>
                <c:pt idx="42">
                  <c:v>Đắk Lắk</c:v>
                </c:pt>
                <c:pt idx="43">
                  <c:v>Hà Nam</c:v>
                </c:pt>
                <c:pt idx="44">
                  <c:v>Bình Dương</c:v>
                </c:pt>
                <c:pt idx="45">
                  <c:v>Cao Bằng</c:v>
                </c:pt>
                <c:pt idx="46">
                  <c:v>Quảng Trị</c:v>
                </c:pt>
                <c:pt idx="47">
                  <c:v>Quảng Nam</c:v>
                </c:pt>
                <c:pt idx="48">
                  <c:v>Ninh Thuận</c:v>
                </c:pt>
                <c:pt idx="49">
                  <c:v>Bà Rịa - Vũng Tàu</c:v>
                </c:pt>
                <c:pt idx="50">
                  <c:v>Bình Định</c:v>
                </c:pt>
                <c:pt idx="51">
                  <c:v>Vĩnh Long</c:v>
                </c:pt>
                <c:pt idx="52">
                  <c:v>Bắc Giang</c:v>
                </c:pt>
                <c:pt idx="53">
                  <c:v>Hải Dương</c:v>
                </c:pt>
              </c:strCache>
            </c:strRef>
          </c:cat>
          <c:val>
            <c:numRef>
              <c:f>'graph-data'!$N$143:$N$196</c:f>
              <c:numCache>
                <c:formatCode>General</c:formatCode>
                <c:ptCount val="54"/>
                <c:pt idx="0">
                  <c:v>1.69</c:v>
                </c:pt>
                <c:pt idx="1">
                  <c:v>2.54</c:v>
                </c:pt>
                <c:pt idx="2">
                  <c:v>3.39</c:v>
                </c:pt>
                <c:pt idx="3">
                  <c:v>3.81</c:v>
                </c:pt>
                <c:pt idx="4">
                  <c:v>3.81</c:v>
                </c:pt>
                <c:pt idx="5">
                  <c:v>4.24</c:v>
                </c:pt>
                <c:pt idx="6">
                  <c:v>4.24</c:v>
                </c:pt>
                <c:pt idx="7">
                  <c:v>4.24</c:v>
                </c:pt>
                <c:pt idx="8">
                  <c:v>4.24</c:v>
                </c:pt>
                <c:pt idx="9">
                  <c:v>4.66</c:v>
                </c:pt>
                <c:pt idx="10">
                  <c:v>4.66</c:v>
                </c:pt>
                <c:pt idx="11">
                  <c:v>4.66</c:v>
                </c:pt>
                <c:pt idx="12">
                  <c:v>4.66</c:v>
                </c:pt>
                <c:pt idx="13">
                  <c:v>5.08</c:v>
                </c:pt>
                <c:pt idx="14">
                  <c:v>5.08</c:v>
                </c:pt>
                <c:pt idx="15">
                  <c:v>5.08</c:v>
                </c:pt>
                <c:pt idx="16">
                  <c:v>5.08</c:v>
                </c:pt>
                <c:pt idx="17">
                  <c:v>5.08</c:v>
                </c:pt>
                <c:pt idx="18">
                  <c:v>5.51</c:v>
                </c:pt>
                <c:pt idx="19">
                  <c:v>5.51</c:v>
                </c:pt>
                <c:pt idx="20">
                  <c:v>5.51</c:v>
                </c:pt>
                <c:pt idx="21">
                  <c:v>5.51</c:v>
                </c:pt>
                <c:pt idx="22">
                  <c:v>5.51</c:v>
                </c:pt>
                <c:pt idx="23">
                  <c:v>5.51</c:v>
                </c:pt>
                <c:pt idx="24">
                  <c:v>5.51</c:v>
                </c:pt>
                <c:pt idx="25">
                  <c:v>5.51</c:v>
                </c:pt>
                <c:pt idx="26">
                  <c:v>5.93</c:v>
                </c:pt>
                <c:pt idx="27">
                  <c:v>5.93</c:v>
                </c:pt>
                <c:pt idx="28">
                  <c:v>5.93</c:v>
                </c:pt>
                <c:pt idx="29">
                  <c:v>5.93</c:v>
                </c:pt>
                <c:pt idx="30">
                  <c:v>5.93</c:v>
                </c:pt>
                <c:pt idx="31">
                  <c:v>5.93</c:v>
                </c:pt>
                <c:pt idx="32">
                  <c:v>5.93</c:v>
                </c:pt>
                <c:pt idx="33">
                  <c:v>6.36</c:v>
                </c:pt>
                <c:pt idx="34">
                  <c:v>6.36</c:v>
                </c:pt>
                <c:pt idx="35">
                  <c:v>6.36</c:v>
                </c:pt>
                <c:pt idx="36">
                  <c:v>6.36</c:v>
                </c:pt>
                <c:pt idx="37">
                  <c:v>6.36</c:v>
                </c:pt>
                <c:pt idx="38">
                  <c:v>6.78</c:v>
                </c:pt>
                <c:pt idx="39">
                  <c:v>6.78</c:v>
                </c:pt>
                <c:pt idx="40">
                  <c:v>6.78</c:v>
                </c:pt>
                <c:pt idx="41">
                  <c:v>6.78</c:v>
                </c:pt>
                <c:pt idx="42">
                  <c:v>6.78</c:v>
                </c:pt>
                <c:pt idx="43">
                  <c:v>6.78</c:v>
                </c:pt>
                <c:pt idx="44">
                  <c:v>6.78</c:v>
                </c:pt>
                <c:pt idx="45">
                  <c:v>6.78</c:v>
                </c:pt>
                <c:pt idx="46">
                  <c:v>6.78</c:v>
                </c:pt>
                <c:pt idx="47">
                  <c:v>6.78</c:v>
                </c:pt>
                <c:pt idx="48">
                  <c:v>6.78</c:v>
                </c:pt>
                <c:pt idx="49">
                  <c:v>6.78</c:v>
                </c:pt>
                <c:pt idx="50">
                  <c:v>6.78</c:v>
                </c:pt>
                <c:pt idx="51">
                  <c:v>6.78</c:v>
                </c:pt>
                <c:pt idx="52">
                  <c:v>6.78</c:v>
                </c:pt>
                <c:pt idx="53">
                  <c:v>6.78</c:v>
                </c:pt>
              </c:numCache>
            </c:numRef>
          </c:val>
          <c:extLst>
            <c:ext xmlns:c16="http://schemas.microsoft.com/office/drawing/2014/chart" uri="{C3380CC4-5D6E-409C-BE32-E72D297353CC}">
              <c16:uniqueId val="{00000000-C761-46BD-BAE5-EAA8185861D7}"/>
            </c:ext>
          </c:extLst>
        </c:ser>
        <c:dLbls>
          <c:dLblPos val="outEnd"/>
          <c:showLegendKey val="0"/>
          <c:showVal val="1"/>
          <c:showCatName val="0"/>
          <c:showSerName val="0"/>
          <c:showPercent val="0"/>
          <c:showBubbleSize val="0"/>
        </c:dLbls>
        <c:gapWidth val="182"/>
        <c:axId val="733946784"/>
        <c:axId val="733954272"/>
      </c:barChart>
      <c:catAx>
        <c:axId val="733946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3954272"/>
        <c:crosses val="autoZero"/>
        <c:auto val="1"/>
        <c:lblAlgn val="ctr"/>
        <c:lblOffset val="100"/>
        <c:tickLblSkip val="1"/>
        <c:noMultiLvlLbl val="0"/>
      </c:catAx>
      <c:valAx>
        <c:axId val="73395427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3946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355B-41E3-BCC1-6F8FBF107628}"/>
              </c:ext>
            </c:extLst>
          </c:dPt>
          <c:dPt>
            <c:idx val="1"/>
            <c:invertIfNegative val="0"/>
            <c:bubble3D val="0"/>
            <c:spPr>
              <a:solidFill>
                <a:srgbClr val="FF0000"/>
              </a:solidFill>
              <a:ln>
                <a:noFill/>
              </a:ln>
              <a:effectLst/>
            </c:spPr>
            <c:extLst>
              <c:ext xmlns:c16="http://schemas.microsoft.com/office/drawing/2014/chart" uri="{C3380CC4-5D6E-409C-BE32-E72D297353CC}">
                <c16:uniqueId val="{00000003-355B-41E3-BCC1-6F8FBF107628}"/>
              </c:ext>
            </c:extLst>
          </c:dPt>
          <c:dPt>
            <c:idx val="2"/>
            <c:invertIfNegative val="0"/>
            <c:bubble3D val="0"/>
            <c:spPr>
              <a:solidFill>
                <a:srgbClr val="FF0000"/>
              </a:solidFill>
              <a:ln>
                <a:noFill/>
              </a:ln>
              <a:effectLst/>
            </c:spPr>
            <c:extLst>
              <c:ext xmlns:c16="http://schemas.microsoft.com/office/drawing/2014/chart" uri="{C3380CC4-5D6E-409C-BE32-E72D297353CC}">
                <c16:uniqueId val="{00000005-355B-41E3-BCC1-6F8FBF107628}"/>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355B-41E3-BCC1-6F8FBF107628}"/>
              </c:ext>
            </c:extLst>
          </c:dPt>
          <c:dPt>
            <c:idx val="4"/>
            <c:invertIfNegative val="0"/>
            <c:bubble3D val="0"/>
            <c:spPr>
              <a:solidFill>
                <a:schemeClr val="accent4"/>
              </a:solidFill>
              <a:ln>
                <a:noFill/>
              </a:ln>
              <a:effectLst/>
            </c:spPr>
            <c:extLst>
              <c:ext xmlns:c16="http://schemas.microsoft.com/office/drawing/2014/chart" uri="{C3380CC4-5D6E-409C-BE32-E72D297353CC}">
                <c16:uniqueId val="{00000009-355B-41E3-BCC1-6F8FBF107628}"/>
              </c:ext>
            </c:extLst>
          </c:dPt>
          <c:dPt>
            <c:idx val="5"/>
            <c:invertIfNegative val="0"/>
            <c:bubble3D val="0"/>
            <c:spPr>
              <a:solidFill>
                <a:schemeClr val="accent4"/>
              </a:solidFill>
              <a:ln>
                <a:noFill/>
              </a:ln>
              <a:effectLst/>
            </c:spPr>
            <c:extLst>
              <c:ext xmlns:c16="http://schemas.microsoft.com/office/drawing/2014/chart" uri="{C3380CC4-5D6E-409C-BE32-E72D297353CC}">
                <c16:uniqueId val="{0000000B-355B-41E3-BCC1-6F8FBF107628}"/>
              </c:ext>
            </c:extLst>
          </c:dPt>
          <c:dPt>
            <c:idx val="6"/>
            <c:invertIfNegative val="0"/>
            <c:bubble3D val="0"/>
            <c:spPr>
              <a:solidFill>
                <a:schemeClr val="accent4"/>
              </a:solidFill>
              <a:ln>
                <a:noFill/>
              </a:ln>
              <a:effectLst/>
            </c:spPr>
            <c:extLst>
              <c:ext xmlns:c16="http://schemas.microsoft.com/office/drawing/2014/chart" uri="{C3380CC4-5D6E-409C-BE32-E72D297353CC}">
                <c16:uniqueId val="{0000000D-355B-41E3-BCC1-6F8FBF107628}"/>
              </c:ext>
            </c:extLst>
          </c:dPt>
          <c:dPt>
            <c:idx val="7"/>
            <c:invertIfNegative val="0"/>
            <c:bubble3D val="0"/>
            <c:spPr>
              <a:solidFill>
                <a:schemeClr val="accent4"/>
              </a:solidFill>
              <a:ln>
                <a:noFill/>
              </a:ln>
              <a:effectLst/>
            </c:spPr>
            <c:extLst>
              <c:ext xmlns:c16="http://schemas.microsoft.com/office/drawing/2014/chart" uri="{C3380CC4-5D6E-409C-BE32-E72D297353CC}">
                <c16:uniqueId val="{0000000F-355B-41E3-BCC1-6F8FBF107628}"/>
              </c:ext>
            </c:extLst>
          </c:dPt>
          <c:dPt>
            <c:idx val="8"/>
            <c:invertIfNegative val="0"/>
            <c:bubble3D val="0"/>
            <c:spPr>
              <a:solidFill>
                <a:schemeClr val="accent4"/>
              </a:solidFill>
              <a:ln>
                <a:noFill/>
              </a:ln>
              <a:effectLst/>
            </c:spPr>
            <c:extLst>
              <c:ext xmlns:c16="http://schemas.microsoft.com/office/drawing/2014/chart" uri="{C3380CC4-5D6E-409C-BE32-E72D297353CC}">
                <c16:uniqueId val="{00000011-355B-41E3-BCC1-6F8FBF107628}"/>
              </c:ext>
            </c:extLst>
          </c:dPt>
          <c:dPt>
            <c:idx val="9"/>
            <c:invertIfNegative val="0"/>
            <c:bubble3D val="0"/>
            <c:spPr>
              <a:solidFill>
                <a:schemeClr val="accent4"/>
              </a:solidFill>
              <a:ln>
                <a:noFill/>
              </a:ln>
              <a:effectLst/>
            </c:spPr>
            <c:extLst>
              <c:ext xmlns:c16="http://schemas.microsoft.com/office/drawing/2014/chart" uri="{C3380CC4-5D6E-409C-BE32-E72D297353CC}">
                <c16:uniqueId val="{00000013-355B-41E3-BCC1-6F8FBF107628}"/>
              </c:ext>
            </c:extLst>
          </c:dPt>
          <c:dPt>
            <c:idx val="10"/>
            <c:invertIfNegative val="0"/>
            <c:bubble3D val="0"/>
            <c:spPr>
              <a:solidFill>
                <a:schemeClr val="accent4"/>
              </a:solidFill>
              <a:ln>
                <a:noFill/>
              </a:ln>
              <a:effectLst/>
            </c:spPr>
            <c:extLst>
              <c:ext xmlns:c16="http://schemas.microsoft.com/office/drawing/2014/chart" uri="{C3380CC4-5D6E-409C-BE32-E72D297353CC}">
                <c16:uniqueId val="{00000015-355B-41E3-BCC1-6F8FBF107628}"/>
              </c:ext>
            </c:extLst>
          </c:dPt>
          <c:dPt>
            <c:idx val="11"/>
            <c:invertIfNegative val="0"/>
            <c:bubble3D val="0"/>
            <c:spPr>
              <a:solidFill>
                <a:schemeClr val="accent4"/>
              </a:solidFill>
              <a:ln>
                <a:noFill/>
              </a:ln>
              <a:effectLst/>
            </c:spPr>
            <c:extLst>
              <c:ext xmlns:c16="http://schemas.microsoft.com/office/drawing/2014/chart" uri="{C3380CC4-5D6E-409C-BE32-E72D297353CC}">
                <c16:uniqueId val="{00000017-355B-41E3-BCC1-6F8FBF107628}"/>
              </c:ext>
            </c:extLst>
          </c:dPt>
          <c:dPt>
            <c:idx val="12"/>
            <c:invertIfNegative val="0"/>
            <c:bubble3D val="0"/>
            <c:spPr>
              <a:solidFill>
                <a:schemeClr val="accent4"/>
              </a:solidFill>
              <a:ln>
                <a:noFill/>
              </a:ln>
              <a:effectLst/>
            </c:spPr>
            <c:extLst>
              <c:ext xmlns:c16="http://schemas.microsoft.com/office/drawing/2014/chart" uri="{C3380CC4-5D6E-409C-BE32-E72D297353CC}">
                <c16:uniqueId val="{00000019-355B-41E3-BCC1-6F8FBF107628}"/>
              </c:ext>
            </c:extLst>
          </c:dPt>
          <c:dPt>
            <c:idx val="13"/>
            <c:invertIfNegative val="0"/>
            <c:bubble3D val="0"/>
            <c:spPr>
              <a:solidFill>
                <a:schemeClr val="accent6"/>
              </a:solidFill>
              <a:ln>
                <a:noFill/>
              </a:ln>
              <a:effectLst/>
            </c:spPr>
            <c:extLst>
              <c:ext xmlns:c16="http://schemas.microsoft.com/office/drawing/2014/chart" uri="{C3380CC4-5D6E-409C-BE32-E72D297353CC}">
                <c16:uniqueId val="{0000001B-355B-41E3-BCC1-6F8FBF107628}"/>
              </c:ext>
            </c:extLst>
          </c:dPt>
          <c:dPt>
            <c:idx val="14"/>
            <c:invertIfNegative val="0"/>
            <c:bubble3D val="0"/>
            <c:spPr>
              <a:solidFill>
                <a:schemeClr val="accent6"/>
              </a:solidFill>
              <a:ln>
                <a:noFill/>
              </a:ln>
              <a:effectLst/>
            </c:spPr>
            <c:extLst>
              <c:ext xmlns:c16="http://schemas.microsoft.com/office/drawing/2014/chart" uri="{C3380CC4-5D6E-409C-BE32-E72D297353CC}">
                <c16:uniqueId val="{0000001D-355B-41E3-BCC1-6F8FBF107628}"/>
              </c:ext>
            </c:extLst>
          </c:dPt>
          <c:dPt>
            <c:idx val="15"/>
            <c:invertIfNegative val="0"/>
            <c:bubble3D val="0"/>
            <c:spPr>
              <a:solidFill>
                <a:schemeClr val="accent6"/>
              </a:solidFill>
              <a:ln>
                <a:noFill/>
              </a:ln>
              <a:effectLst/>
            </c:spPr>
            <c:extLst>
              <c:ext xmlns:c16="http://schemas.microsoft.com/office/drawing/2014/chart" uri="{C3380CC4-5D6E-409C-BE32-E72D297353CC}">
                <c16:uniqueId val="{0000001F-355B-41E3-BCC1-6F8FBF107628}"/>
              </c:ext>
            </c:extLst>
          </c:dPt>
          <c:dPt>
            <c:idx val="16"/>
            <c:invertIfNegative val="0"/>
            <c:bubble3D val="0"/>
            <c:spPr>
              <a:solidFill>
                <a:schemeClr val="accent6"/>
              </a:solidFill>
              <a:ln>
                <a:noFill/>
              </a:ln>
              <a:effectLst/>
            </c:spPr>
            <c:extLst>
              <c:ext xmlns:c16="http://schemas.microsoft.com/office/drawing/2014/chart" uri="{C3380CC4-5D6E-409C-BE32-E72D297353CC}">
                <c16:uniqueId val="{00000021-355B-41E3-BCC1-6F8FBF107628}"/>
              </c:ext>
            </c:extLst>
          </c:dPt>
          <c:dPt>
            <c:idx val="17"/>
            <c:invertIfNegative val="0"/>
            <c:bubble3D val="0"/>
            <c:spPr>
              <a:solidFill>
                <a:schemeClr val="accent6"/>
              </a:solidFill>
              <a:ln>
                <a:noFill/>
              </a:ln>
              <a:effectLst/>
            </c:spPr>
            <c:extLst>
              <c:ext xmlns:c16="http://schemas.microsoft.com/office/drawing/2014/chart" uri="{C3380CC4-5D6E-409C-BE32-E72D297353CC}">
                <c16:uniqueId val="{00000023-355B-41E3-BCC1-6F8FBF107628}"/>
              </c:ext>
            </c:extLst>
          </c:dPt>
          <c:dPt>
            <c:idx val="18"/>
            <c:invertIfNegative val="0"/>
            <c:bubble3D val="0"/>
            <c:spPr>
              <a:solidFill>
                <a:schemeClr val="accent6"/>
              </a:solidFill>
              <a:ln>
                <a:noFill/>
              </a:ln>
              <a:effectLst/>
            </c:spPr>
            <c:extLst>
              <c:ext xmlns:c16="http://schemas.microsoft.com/office/drawing/2014/chart" uri="{C3380CC4-5D6E-409C-BE32-E72D297353CC}">
                <c16:uniqueId val="{00000025-355B-41E3-BCC1-6F8FBF107628}"/>
              </c:ext>
            </c:extLst>
          </c:dPt>
          <c:dPt>
            <c:idx val="19"/>
            <c:invertIfNegative val="0"/>
            <c:bubble3D val="0"/>
            <c:spPr>
              <a:solidFill>
                <a:schemeClr val="accent6"/>
              </a:solidFill>
              <a:ln>
                <a:noFill/>
              </a:ln>
              <a:effectLst/>
            </c:spPr>
            <c:extLst>
              <c:ext xmlns:c16="http://schemas.microsoft.com/office/drawing/2014/chart" uri="{C3380CC4-5D6E-409C-BE32-E72D297353CC}">
                <c16:uniqueId val="{00000027-355B-41E3-BCC1-6F8FBF107628}"/>
              </c:ext>
            </c:extLst>
          </c:dPt>
          <c:dPt>
            <c:idx val="20"/>
            <c:invertIfNegative val="0"/>
            <c:bubble3D val="0"/>
            <c:spPr>
              <a:solidFill>
                <a:schemeClr val="accent6"/>
              </a:solidFill>
              <a:ln>
                <a:noFill/>
              </a:ln>
              <a:effectLst/>
            </c:spPr>
            <c:extLst>
              <c:ext xmlns:c16="http://schemas.microsoft.com/office/drawing/2014/chart" uri="{C3380CC4-5D6E-409C-BE32-E72D297353CC}">
                <c16:uniqueId val="{00000029-355B-41E3-BCC1-6F8FBF107628}"/>
              </c:ext>
            </c:extLst>
          </c:dPt>
          <c:dPt>
            <c:idx val="21"/>
            <c:invertIfNegative val="0"/>
            <c:bubble3D val="0"/>
            <c:spPr>
              <a:solidFill>
                <a:schemeClr val="accent6"/>
              </a:solidFill>
              <a:ln>
                <a:noFill/>
              </a:ln>
              <a:effectLst/>
            </c:spPr>
            <c:extLst>
              <c:ext xmlns:c16="http://schemas.microsoft.com/office/drawing/2014/chart" uri="{C3380CC4-5D6E-409C-BE32-E72D297353CC}">
                <c16:uniqueId val="{0000002B-355B-41E3-BCC1-6F8FBF107628}"/>
              </c:ext>
            </c:extLst>
          </c:dPt>
          <c:dPt>
            <c:idx val="22"/>
            <c:invertIfNegative val="0"/>
            <c:bubble3D val="0"/>
            <c:spPr>
              <a:solidFill>
                <a:schemeClr val="accent6"/>
              </a:solidFill>
              <a:ln>
                <a:noFill/>
              </a:ln>
              <a:effectLst/>
            </c:spPr>
            <c:extLst>
              <c:ext xmlns:c16="http://schemas.microsoft.com/office/drawing/2014/chart" uri="{C3380CC4-5D6E-409C-BE32-E72D297353CC}">
                <c16:uniqueId val="{0000002D-355B-41E3-BCC1-6F8FBF107628}"/>
              </c:ext>
            </c:extLst>
          </c:dPt>
          <c:dPt>
            <c:idx val="23"/>
            <c:invertIfNegative val="0"/>
            <c:bubble3D val="0"/>
            <c:spPr>
              <a:solidFill>
                <a:schemeClr val="accent6"/>
              </a:solidFill>
              <a:ln>
                <a:noFill/>
              </a:ln>
              <a:effectLst/>
            </c:spPr>
            <c:extLst>
              <c:ext xmlns:c16="http://schemas.microsoft.com/office/drawing/2014/chart" uri="{C3380CC4-5D6E-409C-BE32-E72D297353CC}">
                <c16:uniqueId val="{0000002F-355B-41E3-BCC1-6F8FBF107628}"/>
              </c:ext>
            </c:extLst>
          </c:dPt>
          <c:dPt>
            <c:idx val="24"/>
            <c:invertIfNegative val="0"/>
            <c:bubble3D val="0"/>
            <c:spPr>
              <a:solidFill>
                <a:schemeClr val="accent6"/>
              </a:solidFill>
              <a:ln>
                <a:noFill/>
              </a:ln>
              <a:effectLst/>
            </c:spPr>
            <c:extLst>
              <c:ext xmlns:c16="http://schemas.microsoft.com/office/drawing/2014/chart" uri="{C3380CC4-5D6E-409C-BE32-E72D297353CC}">
                <c16:uniqueId val="{00000031-355B-41E3-BCC1-6F8FBF107628}"/>
              </c:ext>
            </c:extLst>
          </c:dPt>
          <c:dPt>
            <c:idx val="25"/>
            <c:invertIfNegative val="0"/>
            <c:bubble3D val="0"/>
            <c:spPr>
              <a:solidFill>
                <a:schemeClr val="accent6"/>
              </a:solidFill>
              <a:ln>
                <a:noFill/>
              </a:ln>
              <a:effectLst/>
            </c:spPr>
            <c:extLst>
              <c:ext xmlns:c16="http://schemas.microsoft.com/office/drawing/2014/chart" uri="{C3380CC4-5D6E-409C-BE32-E72D297353CC}">
                <c16:uniqueId val="{00000033-355B-41E3-BCC1-6F8FBF107628}"/>
              </c:ext>
            </c:extLst>
          </c:dPt>
          <c:dPt>
            <c:idx val="26"/>
            <c:invertIfNegative val="0"/>
            <c:bubble3D val="0"/>
            <c:spPr>
              <a:solidFill>
                <a:schemeClr val="accent6"/>
              </a:solidFill>
              <a:ln>
                <a:noFill/>
              </a:ln>
              <a:effectLst/>
            </c:spPr>
            <c:extLst>
              <c:ext xmlns:c16="http://schemas.microsoft.com/office/drawing/2014/chart" uri="{C3380CC4-5D6E-409C-BE32-E72D297353CC}">
                <c16:uniqueId val="{00000035-355B-41E3-BCC1-6F8FBF107628}"/>
              </c:ext>
            </c:extLst>
          </c:dPt>
          <c:dPt>
            <c:idx val="27"/>
            <c:invertIfNegative val="0"/>
            <c:bubble3D val="0"/>
            <c:spPr>
              <a:solidFill>
                <a:schemeClr val="accent6"/>
              </a:solidFill>
              <a:ln>
                <a:noFill/>
              </a:ln>
              <a:effectLst/>
            </c:spPr>
            <c:extLst>
              <c:ext xmlns:c16="http://schemas.microsoft.com/office/drawing/2014/chart" uri="{C3380CC4-5D6E-409C-BE32-E72D297353CC}">
                <c16:uniqueId val="{00000037-355B-41E3-BCC1-6F8FBF107628}"/>
              </c:ext>
            </c:extLst>
          </c:dPt>
          <c:dPt>
            <c:idx val="28"/>
            <c:invertIfNegative val="0"/>
            <c:bubble3D val="0"/>
            <c:spPr>
              <a:solidFill>
                <a:schemeClr val="accent6"/>
              </a:solidFill>
              <a:ln>
                <a:noFill/>
              </a:ln>
              <a:effectLst/>
            </c:spPr>
            <c:extLst>
              <c:ext xmlns:c16="http://schemas.microsoft.com/office/drawing/2014/chart" uri="{C3380CC4-5D6E-409C-BE32-E72D297353CC}">
                <c16:uniqueId val="{00000039-355B-41E3-BCC1-6F8FBF107628}"/>
              </c:ext>
            </c:extLst>
          </c:dPt>
          <c:dPt>
            <c:idx val="29"/>
            <c:invertIfNegative val="0"/>
            <c:bubble3D val="0"/>
            <c:spPr>
              <a:solidFill>
                <a:schemeClr val="accent6"/>
              </a:solidFill>
              <a:ln>
                <a:noFill/>
              </a:ln>
              <a:effectLst/>
            </c:spPr>
            <c:extLst>
              <c:ext xmlns:c16="http://schemas.microsoft.com/office/drawing/2014/chart" uri="{C3380CC4-5D6E-409C-BE32-E72D297353CC}">
                <c16:uniqueId val="{0000003B-355B-41E3-BCC1-6F8FBF107628}"/>
              </c:ext>
            </c:extLst>
          </c:dPt>
          <c:dPt>
            <c:idx val="30"/>
            <c:invertIfNegative val="0"/>
            <c:bubble3D val="0"/>
            <c:spPr>
              <a:solidFill>
                <a:schemeClr val="accent6"/>
              </a:solidFill>
              <a:ln>
                <a:noFill/>
              </a:ln>
              <a:effectLst/>
            </c:spPr>
            <c:extLst>
              <c:ext xmlns:c16="http://schemas.microsoft.com/office/drawing/2014/chart" uri="{C3380CC4-5D6E-409C-BE32-E72D297353CC}">
                <c16:uniqueId val="{0000003D-355B-41E3-BCC1-6F8FBF107628}"/>
              </c:ext>
            </c:extLst>
          </c:dPt>
          <c:dPt>
            <c:idx val="31"/>
            <c:invertIfNegative val="0"/>
            <c:bubble3D val="0"/>
            <c:spPr>
              <a:solidFill>
                <a:schemeClr val="accent6"/>
              </a:solidFill>
              <a:ln>
                <a:noFill/>
              </a:ln>
              <a:effectLst/>
            </c:spPr>
            <c:extLst>
              <c:ext xmlns:c16="http://schemas.microsoft.com/office/drawing/2014/chart" uri="{C3380CC4-5D6E-409C-BE32-E72D297353CC}">
                <c16:uniqueId val="{0000003F-355B-41E3-BCC1-6F8FBF107628}"/>
              </c:ext>
            </c:extLst>
          </c:dPt>
          <c:dPt>
            <c:idx val="32"/>
            <c:invertIfNegative val="0"/>
            <c:bubble3D val="0"/>
            <c:spPr>
              <a:solidFill>
                <a:schemeClr val="accent6"/>
              </a:solidFill>
              <a:ln>
                <a:noFill/>
              </a:ln>
              <a:effectLst/>
            </c:spPr>
            <c:extLst>
              <c:ext xmlns:c16="http://schemas.microsoft.com/office/drawing/2014/chart" uri="{C3380CC4-5D6E-409C-BE32-E72D297353CC}">
                <c16:uniqueId val="{00000041-355B-41E3-BCC1-6F8FBF107628}"/>
              </c:ext>
            </c:extLst>
          </c:dPt>
          <c:dPt>
            <c:idx val="33"/>
            <c:invertIfNegative val="0"/>
            <c:bubble3D val="0"/>
            <c:spPr>
              <a:solidFill>
                <a:schemeClr val="accent6"/>
              </a:solidFill>
              <a:ln>
                <a:noFill/>
              </a:ln>
              <a:effectLst/>
            </c:spPr>
            <c:extLst>
              <c:ext xmlns:c16="http://schemas.microsoft.com/office/drawing/2014/chart" uri="{C3380CC4-5D6E-409C-BE32-E72D297353CC}">
                <c16:uniqueId val="{00000043-355B-41E3-BCC1-6F8FBF107628}"/>
              </c:ext>
            </c:extLst>
          </c:dPt>
          <c:dPt>
            <c:idx val="34"/>
            <c:invertIfNegative val="0"/>
            <c:bubble3D val="0"/>
            <c:spPr>
              <a:solidFill>
                <a:schemeClr val="accent6"/>
              </a:solidFill>
              <a:ln>
                <a:noFill/>
              </a:ln>
              <a:effectLst/>
            </c:spPr>
            <c:extLst>
              <c:ext xmlns:c16="http://schemas.microsoft.com/office/drawing/2014/chart" uri="{C3380CC4-5D6E-409C-BE32-E72D297353CC}">
                <c16:uniqueId val="{00000045-355B-41E3-BCC1-6F8FBF107628}"/>
              </c:ext>
            </c:extLst>
          </c:dPt>
          <c:dPt>
            <c:idx val="35"/>
            <c:invertIfNegative val="0"/>
            <c:bubble3D val="0"/>
            <c:spPr>
              <a:solidFill>
                <a:schemeClr val="accent6"/>
              </a:solidFill>
              <a:ln>
                <a:noFill/>
              </a:ln>
              <a:effectLst/>
            </c:spPr>
            <c:extLst>
              <c:ext xmlns:c16="http://schemas.microsoft.com/office/drawing/2014/chart" uri="{C3380CC4-5D6E-409C-BE32-E72D297353CC}">
                <c16:uniqueId val="{00000047-355B-41E3-BCC1-6F8FBF107628}"/>
              </c:ext>
            </c:extLst>
          </c:dPt>
          <c:dPt>
            <c:idx val="36"/>
            <c:invertIfNegative val="0"/>
            <c:bubble3D val="0"/>
            <c:spPr>
              <a:solidFill>
                <a:schemeClr val="accent6"/>
              </a:solidFill>
              <a:ln>
                <a:noFill/>
              </a:ln>
              <a:effectLst/>
            </c:spPr>
            <c:extLst>
              <c:ext xmlns:c16="http://schemas.microsoft.com/office/drawing/2014/chart" uri="{C3380CC4-5D6E-409C-BE32-E72D297353CC}">
                <c16:uniqueId val="{00000049-355B-41E3-BCC1-6F8FBF107628}"/>
              </c:ext>
            </c:extLst>
          </c:dPt>
          <c:dPt>
            <c:idx val="37"/>
            <c:invertIfNegative val="0"/>
            <c:bubble3D val="0"/>
            <c:spPr>
              <a:solidFill>
                <a:schemeClr val="accent6"/>
              </a:solidFill>
              <a:ln>
                <a:noFill/>
              </a:ln>
              <a:effectLst/>
            </c:spPr>
            <c:extLst>
              <c:ext xmlns:c16="http://schemas.microsoft.com/office/drawing/2014/chart" uri="{C3380CC4-5D6E-409C-BE32-E72D297353CC}">
                <c16:uniqueId val="{0000004B-355B-41E3-BCC1-6F8FBF107628}"/>
              </c:ext>
            </c:extLst>
          </c:dPt>
          <c:dPt>
            <c:idx val="38"/>
            <c:invertIfNegative val="0"/>
            <c:bubble3D val="0"/>
            <c:spPr>
              <a:solidFill>
                <a:schemeClr val="accent6"/>
              </a:solidFill>
              <a:ln>
                <a:noFill/>
              </a:ln>
              <a:effectLst/>
            </c:spPr>
            <c:extLst>
              <c:ext xmlns:c16="http://schemas.microsoft.com/office/drawing/2014/chart" uri="{C3380CC4-5D6E-409C-BE32-E72D297353CC}">
                <c16:uniqueId val="{0000004D-355B-41E3-BCC1-6F8FBF10762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'tru-cot'!$A$2:$A$64</c:f>
              <c:strCache>
                <c:ptCount val="63"/>
                <c:pt idx="0">
                  <c:v>Hòa Bình</c:v>
                </c:pt>
                <c:pt idx="1">
                  <c:v>Đồng Tháp</c:v>
                </c:pt>
                <c:pt idx="2">
                  <c:v>Lạng Sơn</c:v>
                </c:pt>
                <c:pt idx="3">
                  <c:v>Kiên Giang</c:v>
                </c:pt>
                <c:pt idx="4">
                  <c:v>Hà Tĩnh</c:v>
                </c:pt>
                <c:pt idx="5">
                  <c:v>Nghệ An</c:v>
                </c:pt>
                <c:pt idx="6">
                  <c:v>Quảng Bình</c:v>
                </c:pt>
                <c:pt idx="7">
                  <c:v>Bạc Liêu</c:v>
                </c:pt>
                <c:pt idx="8">
                  <c:v>Nam Định</c:v>
                </c:pt>
                <c:pt idx="9">
                  <c:v>Hậu Giang</c:v>
                </c:pt>
                <c:pt idx="10">
                  <c:v>Tuyên Quang</c:v>
                </c:pt>
                <c:pt idx="11">
                  <c:v>Ninh Bình</c:v>
                </c:pt>
                <c:pt idx="12">
                  <c:v>Hưng Yên</c:v>
                </c:pt>
                <c:pt idx="13">
                  <c:v>Cà Mau</c:v>
                </c:pt>
                <c:pt idx="14">
                  <c:v>Đồng Nai</c:v>
                </c:pt>
                <c:pt idx="15">
                  <c:v>Thái Nguyên</c:v>
                </c:pt>
                <c:pt idx="16">
                  <c:v>Sóc Trăng</c:v>
                </c:pt>
                <c:pt idx="17">
                  <c:v>Thanh Hóa</c:v>
                </c:pt>
                <c:pt idx="18">
                  <c:v>Quảng Ngãi</c:v>
                </c:pt>
                <c:pt idx="19">
                  <c:v>Phú Yên</c:v>
                </c:pt>
                <c:pt idx="20">
                  <c:v>Đắk Lắk</c:v>
                </c:pt>
                <c:pt idx="21">
                  <c:v>Bình Phước</c:v>
                </c:pt>
                <c:pt idx="22">
                  <c:v>Vĩnh Phúc</c:v>
                </c:pt>
                <c:pt idx="23">
                  <c:v>Thừa Thiên Huế</c:v>
                </c:pt>
                <c:pt idx="24">
                  <c:v>Sơn La</c:v>
                </c:pt>
                <c:pt idx="25">
                  <c:v>TP. Hồ Chí Minh</c:v>
                </c:pt>
                <c:pt idx="26">
                  <c:v>Tiền Giang</c:v>
                </c:pt>
                <c:pt idx="27">
                  <c:v>Gia Lai</c:v>
                </c:pt>
                <c:pt idx="28">
                  <c:v>Hải Phòng</c:v>
                </c:pt>
                <c:pt idx="29">
                  <c:v>Phú Thọ</c:v>
                </c:pt>
                <c:pt idx="30">
                  <c:v>Đắk Nông</c:v>
                </c:pt>
                <c:pt idx="31">
                  <c:v>Cần Thơ</c:v>
                </c:pt>
                <c:pt idx="32">
                  <c:v>Bến Tre</c:v>
                </c:pt>
                <c:pt idx="33">
                  <c:v>Thái Bình</c:v>
                </c:pt>
                <c:pt idx="34">
                  <c:v>Lào Cai</c:v>
                </c:pt>
                <c:pt idx="35">
                  <c:v>Long An</c:v>
                </c:pt>
                <c:pt idx="36">
                  <c:v>Hà Giang</c:v>
                </c:pt>
                <c:pt idx="37">
                  <c:v>Điện Biên</c:v>
                </c:pt>
                <c:pt idx="38">
                  <c:v>Kon Tum</c:v>
                </c:pt>
                <c:pt idx="39">
                  <c:v>Bình Thuận</c:v>
                </c:pt>
                <c:pt idx="40">
                  <c:v>Lâm Đồng</c:v>
                </c:pt>
                <c:pt idx="41">
                  <c:v>Bắc Ninh</c:v>
                </c:pt>
                <c:pt idx="42">
                  <c:v>Hà Nam</c:v>
                </c:pt>
                <c:pt idx="43">
                  <c:v>Bắc Kạn</c:v>
                </c:pt>
                <c:pt idx="44">
                  <c:v>An Giang</c:v>
                </c:pt>
                <c:pt idx="45">
                  <c:v>Ninh Thuận</c:v>
                </c:pt>
                <c:pt idx="46">
                  <c:v>Hà Nội</c:v>
                </c:pt>
                <c:pt idx="47">
                  <c:v>Lai Châu</c:v>
                </c:pt>
                <c:pt idx="48">
                  <c:v>Khánh Hòa</c:v>
                </c:pt>
                <c:pt idx="49">
                  <c:v>Quảng Ninh</c:v>
                </c:pt>
                <c:pt idx="50">
                  <c:v>Bình Dương</c:v>
                </c:pt>
                <c:pt idx="51">
                  <c:v>Cao Bằng</c:v>
                </c:pt>
                <c:pt idx="52">
                  <c:v>Quảng Trị</c:v>
                </c:pt>
                <c:pt idx="53">
                  <c:v>Trà Vinh</c:v>
                </c:pt>
                <c:pt idx="54">
                  <c:v>Yên Bái</c:v>
                </c:pt>
                <c:pt idx="55">
                  <c:v>Tây Ninh</c:v>
                </c:pt>
                <c:pt idx="56">
                  <c:v>Bình Định</c:v>
                </c:pt>
                <c:pt idx="57">
                  <c:v>Bắc Giang</c:v>
                </c:pt>
                <c:pt idx="58">
                  <c:v>Hải Dương</c:v>
                </c:pt>
                <c:pt idx="59">
                  <c:v>Vĩnh Long</c:v>
                </c:pt>
                <c:pt idx="60">
                  <c:v>Đà Nẵng</c:v>
                </c:pt>
                <c:pt idx="61">
                  <c:v>Bà Rịa - Vũng Tàu</c:v>
                </c:pt>
                <c:pt idx="62">
                  <c:v>Quảng Nam</c:v>
                </c:pt>
              </c:strCache>
            </c:strRef>
          </c:cat>
          <c:val>
            <c:numRef>
              <c:f>'tru-cot'!$I$2:$I$64</c:f>
              <c:numCache>
                <c:formatCode>General</c:formatCode>
                <c:ptCount val="63"/>
                <c:pt idx="0">
                  <c:v>1.69</c:v>
                </c:pt>
                <c:pt idx="1">
                  <c:v>7.9</c:v>
                </c:pt>
                <c:pt idx="2">
                  <c:v>21.61</c:v>
                </c:pt>
                <c:pt idx="3">
                  <c:v>29.8</c:v>
                </c:pt>
                <c:pt idx="4">
                  <c:v>34.58</c:v>
                </c:pt>
                <c:pt idx="5">
                  <c:v>37.119999999999997</c:v>
                </c:pt>
                <c:pt idx="6">
                  <c:v>38.39</c:v>
                </c:pt>
                <c:pt idx="7">
                  <c:v>41.95</c:v>
                </c:pt>
                <c:pt idx="8">
                  <c:v>42.63</c:v>
                </c:pt>
                <c:pt idx="9">
                  <c:v>42.9</c:v>
                </c:pt>
                <c:pt idx="10">
                  <c:v>47.31</c:v>
                </c:pt>
                <c:pt idx="11">
                  <c:v>48.69</c:v>
                </c:pt>
                <c:pt idx="12">
                  <c:v>50.95</c:v>
                </c:pt>
                <c:pt idx="13">
                  <c:v>53.32</c:v>
                </c:pt>
                <c:pt idx="14">
                  <c:v>53.93</c:v>
                </c:pt>
                <c:pt idx="15">
                  <c:v>54.19</c:v>
                </c:pt>
                <c:pt idx="16">
                  <c:v>54.47</c:v>
                </c:pt>
                <c:pt idx="17">
                  <c:v>56.63</c:v>
                </c:pt>
                <c:pt idx="18">
                  <c:v>56.75</c:v>
                </c:pt>
                <c:pt idx="19">
                  <c:v>58.17</c:v>
                </c:pt>
                <c:pt idx="20">
                  <c:v>62.37</c:v>
                </c:pt>
                <c:pt idx="21">
                  <c:v>63.93</c:v>
                </c:pt>
                <c:pt idx="22">
                  <c:v>64.510000000000005</c:v>
                </c:pt>
                <c:pt idx="23">
                  <c:v>65.03</c:v>
                </c:pt>
                <c:pt idx="24">
                  <c:v>65.37</c:v>
                </c:pt>
                <c:pt idx="25">
                  <c:v>66.03</c:v>
                </c:pt>
                <c:pt idx="26">
                  <c:v>67.61</c:v>
                </c:pt>
                <c:pt idx="27">
                  <c:v>68.47</c:v>
                </c:pt>
                <c:pt idx="28">
                  <c:v>68.75</c:v>
                </c:pt>
                <c:pt idx="29">
                  <c:v>68.88</c:v>
                </c:pt>
                <c:pt idx="30">
                  <c:v>69.58</c:v>
                </c:pt>
                <c:pt idx="31">
                  <c:v>70.02</c:v>
                </c:pt>
                <c:pt idx="32">
                  <c:v>70.19</c:v>
                </c:pt>
                <c:pt idx="33">
                  <c:v>71.02</c:v>
                </c:pt>
                <c:pt idx="34">
                  <c:v>71.25</c:v>
                </c:pt>
                <c:pt idx="35">
                  <c:v>72.12</c:v>
                </c:pt>
                <c:pt idx="36">
                  <c:v>72.69</c:v>
                </c:pt>
                <c:pt idx="37">
                  <c:v>72.86</c:v>
                </c:pt>
                <c:pt idx="38">
                  <c:v>74.540000000000006</c:v>
                </c:pt>
                <c:pt idx="39">
                  <c:v>75.540000000000006</c:v>
                </c:pt>
                <c:pt idx="40">
                  <c:v>76.39</c:v>
                </c:pt>
                <c:pt idx="41">
                  <c:v>76.8</c:v>
                </c:pt>
                <c:pt idx="42">
                  <c:v>77.8</c:v>
                </c:pt>
                <c:pt idx="43">
                  <c:v>77.97</c:v>
                </c:pt>
                <c:pt idx="44">
                  <c:v>78.75</c:v>
                </c:pt>
                <c:pt idx="45">
                  <c:v>79.05</c:v>
                </c:pt>
                <c:pt idx="46">
                  <c:v>79.59</c:v>
                </c:pt>
                <c:pt idx="47">
                  <c:v>79.61</c:v>
                </c:pt>
                <c:pt idx="48">
                  <c:v>80.900000000000006</c:v>
                </c:pt>
                <c:pt idx="49">
                  <c:v>81.709999999999994</c:v>
                </c:pt>
                <c:pt idx="50">
                  <c:v>82.31</c:v>
                </c:pt>
                <c:pt idx="51">
                  <c:v>82.9</c:v>
                </c:pt>
                <c:pt idx="52">
                  <c:v>83.98</c:v>
                </c:pt>
                <c:pt idx="53">
                  <c:v>85.14</c:v>
                </c:pt>
                <c:pt idx="54">
                  <c:v>85.71</c:v>
                </c:pt>
                <c:pt idx="55">
                  <c:v>86.25</c:v>
                </c:pt>
                <c:pt idx="56">
                  <c:v>86.41</c:v>
                </c:pt>
                <c:pt idx="57">
                  <c:v>87</c:v>
                </c:pt>
                <c:pt idx="58">
                  <c:v>88.14</c:v>
                </c:pt>
                <c:pt idx="59">
                  <c:v>88.95</c:v>
                </c:pt>
                <c:pt idx="60">
                  <c:v>89.95</c:v>
                </c:pt>
                <c:pt idx="61">
                  <c:v>90.39</c:v>
                </c:pt>
                <c:pt idx="62">
                  <c:v>90.51</c:v>
                </c:pt>
              </c:numCache>
            </c:numRef>
          </c:val>
          <c:extLst>
            <c:ext xmlns:c16="http://schemas.microsoft.com/office/drawing/2014/chart" uri="{C3380CC4-5D6E-409C-BE32-E72D297353CC}">
              <c16:uniqueId val="{0000004E-355B-41E3-BCC1-6F8FBF107628}"/>
            </c:ext>
          </c:extLst>
        </c:ser>
        <c:dLbls>
          <c:dLblPos val="outEnd"/>
          <c:showLegendKey val="0"/>
          <c:showVal val="1"/>
          <c:showCatName val="0"/>
          <c:showSerName val="0"/>
          <c:showPercent val="0"/>
          <c:showBubbleSize val="0"/>
        </c:dLbls>
        <c:gapWidth val="182"/>
        <c:axId val="632796304"/>
        <c:axId val="632797616"/>
      </c:barChart>
      <c:catAx>
        <c:axId val="632796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2797616"/>
        <c:crosses val="autoZero"/>
        <c:auto val="1"/>
        <c:lblAlgn val="ctr"/>
        <c:lblOffset val="100"/>
        <c:tickLblSkip val="1"/>
        <c:noMultiLvlLbl val="0"/>
      </c:catAx>
      <c:valAx>
        <c:axId val="6327976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2796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'graph-data'!$AC$52:$AC$54</c:f>
              <c:strCache>
                <c:ptCount val="3"/>
                <c:pt idx="0">
                  <c:v>Trong vòng 05 ngày làm việc kể từ ngày Ủy ban nhân dân tỉnh gửi Báo cáo Dự thảo dự toán ngân sách tỉnh năm 2020 cho đại biểu Hội đồng nhân dân cấp tỉnh</c:v>
                </c:pt>
                <c:pt idx="1">
                  <c:v>Sau 5 ngày và trong khoảng 30 ngày kể từ ngày Ủy ban nhân dân tỉnh gửi Báo cáo Dự thảo dự toán ngân sách tỉnh năm 2020 cho đại biểu Hội đồng nhân dân cấp tỉnh</c:v>
                </c:pt>
                <c:pt idx="2">
                  <c:v>Sau 30 ngày kể từ  ngày Ủy ban nhân dân tỉnh gửi Báo cáo  tình hình thực hiện ngân sách tỉnh 2018 cho đại biểu Hội đồng nhân dân cấp tỉnh  hoặc không rõ ngày công khai</c:v>
                </c:pt>
              </c:strCache>
            </c:strRef>
          </c:cat>
          <c:val>
            <c:numRef>
              <c:f>'graph-data'!$AD$52:$AD$54</c:f>
              <c:numCache>
                <c:formatCode>General</c:formatCode>
                <c:ptCount val="3"/>
                <c:pt idx="0">
                  <c:v>28</c:v>
                </c:pt>
                <c:pt idx="1">
                  <c:v>8</c:v>
                </c:pt>
                <c:pt idx="2">
                  <c:v>17</c:v>
                </c:pt>
              </c:numCache>
            </c:numRef>
          </c:val>
          <c:extLst>
            <c:ext xmlns:c16="http://schemas.microsoft.com/office/drawing/2014/chart" uri="{C3380CC4-5D6E-409C-BE32-E72D297353CC}">
              <c16:uniqueId val="{00000000-455D-4D8C-84A2-DA015DC258A9}"/>
            </c:ext>
          </c:extLst>
        </c:ser>
        <c:dLbls>
          <c:dLblPos val="outEnd"/>
          <c:showLegendKey val="0"/>
          <c:showVal val="1"/>
          <c:showCatName val="0"/>
          <c:showSerName val="0"/>
          <c:showPercent val="0"/>
          <c:showBubbleSize val="0"/>
        </c:dLbls>
        <c:gapWidth val="219"/>
        <c:overlap val="-27"/>
        <c:axId val="807091360"/>
        <c:axId val="807090944"/>
      </c:barChart>
      <c:catAx>
        <c:axId val="80709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7090944"/>
        <c:crosses val="autoZero"/>
        <c:auto val="1"/>
        <c:lblAlgn val="ctr"/>
        <c:lblOffset val="100"/>
        <c:noMultiLvlLbl val="0"/>
      </c:catAx>
      <c:valAx>
        <c:axId val="807090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07091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3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'graph-data'!$AC$56:$AC$58</c:f>
              <c:strCache>
                <c:ptCount val="3"/>
                <c:pt idx="0">
                  <c:v>Phản ánh cả 3 biểu trên</c:v>
                </c:pt>
                <c:pt idx="1">
                  <c:v>Chỉ phản ánh 1 đến 2 biểu</c:v>
                </c:pt>
                <c:pt idx="2">
                  <c:v>Không phản ánh theo quy định</c:v>
                </c:pt>
              </c:strCache>
            </c:strRef>
          </c:cat>
          <c:val>
            <c:numRef>
              <c:f>'graph-data'!$AD$56:$AD$58</c:f>
              <c:numCache>
                <c:formatCode>General</c:formatCode>
                <c:ptCount val="3"/>
                <c:pt idx="0">
                  <c:v>42</c:v>
                </c:pt>
                <c:pt idx="1">
                  <c:v>8</c:v>
                </c:pt>
                <c:pt idx="2">
                  <c:v>4</c:v>
                </c:pt>
              </c:numCache>
            </c:numRef>
          </c:val>
          <c:extLst>
            <c:ext xmlns:c16="http://schemas.microsoft.com/office/drawing/2014/chart" uri="{C3380CC4-5D6E-409C-BE32-E72D297353CC}">
              <c16:uniqueId val="{00000000-645D-42AC-B0AB-5C43F12B28FB}"/>
            </c:ext>
          </c:extLst>
        </c:ser>
        <c:dLbls>
          <c:dLblPos val="outEnd"/>
          <c:showLegendKey val="0"/>
          <c:showVal val="1"/>
          <c:showCatName val="0"/>
          <c:showSerName val="0"/>
          <c:showPercent val="0"/>
          <c:showBubbleSize val="0"/>
        </c:dLbls>
        <c:gapWidth val="219"/>
        <c:overlap val="-27"/>
        <c:axId val="734566592"/>
        <c:axId val="734563264"/>
      </c:barChart>
      <c:catAx>
        <c:axId val="734566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300" b="0" i="0" u="none" strike="noStrike" kern="1200" baseline="0">
                <a:solidFill>
                  <a:schemeClr val="tx1">
                    <a:lumMod val="65000"/>
                    <a:lumOff val="35000"/>
                  </a:schemeClr>
                </a:solidFill>
                <a:latin typeface="+mn-lt"/>
                <a:ea typeface="+mn-ea"/>
                <a:cs typeface="+mn-cs"/>
              </a:defRPr>
            </a:pPr>
            <a:endParaRPr lang="en-US"/>
          </a:p>
        </c:txPr>
        <c:crossAx val="734563264"/>
        <c:crosses val="autoZero"/>
        <c:auto val="1"/>
        <c:lblAlgn val="ctr"/>
        <c:lblOffset val="100"/>
        <c:noMultiLvlLbl val="0"/>
      </c:catAx>
      <c:valAx>
        <c:axId val="734563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300" b="0" i="0" u="none" strike="noStrike" kern="1200" baseline="0">
                <a:solidFill>
                  <a:schemeClr val="tx1">
                    <a:lumMod val="65000"/>
                    <a:lumOff val="35000"/>
                  </a:schemeClr>
                </a:solidFill>
                <a:latin typeface="+mn-lt"/>
                <a:ea typeface="+mn-ea"/>
                <a:cs typeface="+mn-cs"/>
              </a:defRPr>
            </a:pPr>
            <a:endParaRPr lang="en-US"/>
          </a:p>
        </c:txPr>
        <c:crossAx val="734566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'graph-data'!$Q$142</c:f>
              <c:strCache>
                <c:ptCount val="1"/>
                <c:pt idx="0">
                  <c:v>doc_7_scaled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'graph-data'!$P$143:$P$199</c:f>
              <c:strCache>
                <c:ptCount val="57"/>
                <c:pt idx="0">
                  <c:v>Quảng Ngãi</c:v>
                </c:pt>
                <c:pt idx="1">
                  <c:v>Nghệ An</c:v>
                </c:pt>
                <c:pt idx="2">
                  <c:v>Hà Tĩnh</c:v>
                </c:pt>
                <c:pt idx="3">
                  <c:v>Thái Nguyên</c:v>
                </c:pt>
                <c:pt idx="4">
                  <c:v>Ninh Bình</c:v>
                </c:pt>
                <c:pt idx="5">
                  <c:v>Cà Mau</c:v>
                </c:pt>
                <c:pt idx="6">
                  <c:v>Hưng Yên</c:v>
                </c:pt>
                <c:pt idx="7">
                  <c:v>Hậu Giang</c:v>
                </c:pt>
                <c:pt idx="8">
                  <c:v>Thừa Thiên Huế</c:v>
                </c:pt>
                <c:pt idx="9">
                  <c:v>Vĩnh Phúc</c:v>
                </c:pt>
                <c:pt idx="10">
                  <c:v>Nam Định</c:v>
                </c:pt>
                <c:pt idx="11">
                  <c:v>Cần Thơ</c:v>
                </c:pt>
                <c:pt idx="12">
                  <c:v>Sơn La</c:v>
                </c:pt>
                <c:pt idx="13">
                  <c:v>Bình Thuận</c:v>
                </c:pt>
                <c:pt idx="14">
                  <c:v>Bắc Ninh</c:v>
                </c:pt>
                <c:pt idx="15">
                  <c:v>Cao Bằng</c:v>
                </c:pt>
                <c:pt idx="16">
                  <c:v>Quảng Bình</c:v>
                </c:pt>
                <c:pt idx="17">
                  <c:v>Đồng Nai</c:v>
                </c:pt>
                <c:pt idx="18">
                  <c:v>Sóc Trăng</c:v>
                </c:pt>
                <c:pt idx="19">
                  <c:v>Phú Thọ</c:v>
                </c:pt>
                <c:pt idx="20">
                  <c:v>Lào Cai</c:v>
                </c:pt>
                <c:pt idx="21">
                  <c:v>Quảng Ninh</c:v>
                </c:pt>
                <c:pt idx="22">
                  <c:v>Long An</c:v>
                </c:pt>
                <c:pt idx="23">
                  <c:v>Hà Giang</c:v>
                </c:pt>
                <c:pt idx="24">
                  <c:v>Quảng Nam</c:v>
                </c:pt>
                <c:pt idx="25">
                  <c:v>Tuyên Quang</c:v>
                </c:pt>
                <c:pt idx="26">
                  <c:v>Kon Tum</c:v>
                </c:pt>
                <c:pt idx="27">
                  <c:v>Đắk Nông</c:v>
                </c:pt>
                <c:pt idx="28">
                  <c:v>TP. Hồ Chí Minh</c:v>
                </c:pt>
                <c:pt idx="29">
                  <c:v>Thái Bình</c:v>
                </c:pt>
                <c:pt idx="30">
                  <c:v>Bắc Giang</c:v>
                </c:pt>
                <c:pt idx="31">
                  <c:v>Bình Phước</c:v>
                </c:pt>
                <c:pt idx="32">
                  <c:v>Tiền Giang</c:v>
                </c:pt>
                <c:pt idx="33">
                  <c:v>Điện Biên</c:v>
                </c:pt>
                <c:pt idx="34">
                  <c:v>Bình Định</c:v>
                </c:pt>
                <c:pt idx="35">
                  <c:v>Phú Yên</c:v>
                </c:pt>
                <c:pt idx="36">
                  <c:v>Bình Dương</c:v>
                </c:pt>
                <c:pt idx="37">
                  <c:v>An Giang</c:v>
                </c:pt>
                <c:pt idx="38">
                  <c:v>Khánh Hòa</c:v>
                </c:pt>
                <c:pt idx="39">
                  <c:v>Ninh Thuận</c:v>
                </c:pt>
                <c:pt idx="40">
                  <c:v>Hải Dương</c:v>
                </c:pt>
                <c:pt idx="41">
                  <c:v>Quảng Trị</c:v>
                </c:pt>
                <c:pt idx="42">
                  <c:v>Đắk Lắk</c:v>
                </c:pt>
                <c:pt idx="43">
                  <c:v>Hà Nội</c:v>
                </c:pt>
                <c:pt idx="44">
                  <c:v>Đà Nẵng</c:v>
                </c:pt>
                <c:pt idx="45">
                  <c:v>Hà Nam</c:v>
                </c:pt>
                <c:pt idx="46">
                  <c:v>Lai Châu</c:v>
                </c:pt>
                <c:pt idx="47">
                  <c:v>Yên Bái</c:v>
                </c:pt>
                <c:pt idx="48">
                  <c:v>Vĩnh Long</c:v>
                </c:pt>
                <c:pt idx="49">
                  <c:v>Trà Vinh</c:v>
                </c:pt>
                <c:pt idx="50">
                  <c:v>Hải Phòng</c:v>
                </c:pt>
                <c:pt idx="51">
                  <c:v>Gia Lai</c:v>
                </c:pt>
                <c:pt idx="52">
                  <c:v>Bà Rịa - Vũng Tàu</c:v>
                </c:pt>
                <c:pt idx="53">
                  <c:v>Bắc Kạn</c:v>
                </c:pt>
                <c:pt idx="54">
                  <c:v>Tây Ninh</c:v>
                </c:pt>
                <c:pt idx="55">
                  <c:v>Bến Tre</c:v>
                </c:pt>
                <c:pt idx="56">
                  <c:v>Lâm Đồng</c:v>
                </c:pt>
              </c:strCache>
            </c:strRef>
          </c:cat>
          <c:val>
            <c:numRef>
              <c:f>'graph-data'!$Q$143:$Q$199</c:f>
              <c:numCache>
                <c:formatCode>General</c:formatCode>
                <c:ptCount val="57"/>
                <c:pt idx="0">
                  <c:v>4.51</c:v>
                </c:pt>
                <c:pt idx="1">
                  <c:v>9.31</c:v>
                </c:pt>
                <c:pt idx="2">
                  <c:v>9.59</c:v>
                </c:pt>
                <c:pt idx="3">
                  <c:v>9.8800000000000008</c:v>
                </c:pt>
                <c:pt idx="4">
                  <c:v>12.41</c:v>
                </c:pt>
                <c:pt idx="5">
                  <c:v>12.97</c:v>
                </c:pt>
                <c:pt idx="6">
                  <c:v>13.27</c:v>
                </c:pt>
                <c:pt idx="7">
                  <c:v>14.66</c:v>
                </c:pt>
                <c:pt idx="8">
                  <c:v>15.49</c:v>
                </c:pt>
                <c:pt idx="9">
                  <c:v>15.51</c:v>
                </c:pt>
                <c:pt idx="10">
                  <c:v>15.8</c:v>
                </c:pt>
                <c:pt idx="11">
                  <c:v>15.8</c:v>
                </c:pt>
                <c:pt idx="12">
                  <c:v>15.8</c:v>
                </c:pt>
                <c:pt idx="13">
                  <c:v>15.8</c:v>
                </c:pt>
                <c:pt idx="14">
                  <c:v>16.079999999999998</c:v>
                </c:pt>
                <c:pt idx="15">
                  <c:v>16.37</c:v>
                </c:pt>
                <c:pt idx="16">
                  <c:v>16.93</c:v>
                </c:pt>
                <c:pt idx="17">
                  <c:v>16.95</c:v>
                </c:pt>
                <c:pt idx="18">
                  <c:v>17.2</c:v>
                </c:pt>
                <c:pt idx="19">
                  <c:v>17.2</c:v>
                </c:pt>
                <c:pt idx="20">
                  <c:v>17.2</c:v>
                </c:pt>
                <c:pt idx="21">
                  <c:v>17.489999999999998</c:v>
                </c:pt>
                <c:pt idx="22">
                  <c:v>18.07</c:v>
                </c:pt>
                <c:pt idx="23">
                  <c:v>18.61</c:v>
                </c:pt>
                <c:pt idx="24">
                  <c:v>18.63</c:v>
                </c:pt>
                <c:pt idx="25">
                  <c:v>18.920000000000002</c:v>
                </c:pt>
                <c:pt idx="26">
                  <c:v>18.920000000000002</c:v>
                </c:pt>
                <c:pt idx="27">
                  <c:v>18.920000000000002</c:v>
                </c:pt>
                <c:pt idx="28">
                  <c:v>19.190000000000001</c:v>
                </c:pt>
                <c:pt idx="29">
                  <c:v>19.2</c:v>
                </c:pt>
                <c:pt idx="30">
                  <c:v>19.2</c:v>
                </c:pt>
                <c:pt idx="31">
                  <c:v>19.47</c:v>
                </c:pt>
                <c:pt idx="32">
                  <c:v>19.47</c:v>
                </c:pt>
                <c:pt idx="33">
                  <c:v>19.760000000000002</c:v>
                </c:pt>
                <c:pt idx="34">
                  <c:v>19.760000000000002</c:v>
                </c:pt>
                <c:pt idx="35">
                  <c:v>20.03</c:v>
                </c:pt>
                <c:pt idx="36">
                  <c:v>20.03</c:v>
                </c:pt>
                <c:pt idx="37">
                  <c:v>20.309999999999999</c:v>
                </c:pt>
                <c:pt idx="38">
                  <c:v>20.309999999999999</c:v>
                </c:pt>
                <c:pt idx="39">
                  <c:v>20.32</c:v>
                </c:pt>
                <c:pt idx="40">
                  <c:v>20.34</c:v>
                </c:pt>
                <c:pt idx="41">
                  <c:v>20.58</c:v>
                </c:pt>
                <c:pt idx="42">
                  <c:v>20.86</c:v>
                </c:pt>
                <c:pt idx="43">
                  <c:v>20.88</c:v>
                </c:pt>
                <c:pt idx="44">
                  <c:v>20.88</c:v>
                </c:pt>
                <c:pt idx="45">
                  <c:v>20.88</c:v>
                </c:pt>
                <c:pt idx="46">
                  <c:v>21.44</c:v>
                </c:pt>
                <c:pt idx="47">
                  <c:v>21.46</c:v>
                </c:pt>
                <c:pt idx="48">
                  <c:v>21.46</c:v>
                </c:pt>
                <c:pt idx="49">
                  <c:v>22</c:v>
                </c:pt>
                <c:pt idx="50">
                  <c:v>22.31</c:v>
                </c:pt>
                <c:pt idx="51">
                  <c:v>22.59</c:v>
                </c:pt>
                <c:pt idx="52">
                  <c:v>22.59</c:v>
                </c:pt>
                <c:pt idx="53">
                  <c:v>22.88</c:v>
                </c:pt>
                <c:pt idx="54">
                  <c:v>23.14</c:v>
                </c:pt>
                <c:pt idx="55">
                  <c:v>23.15</c:v>
                </c:pt>
                <c:pt idx="56">
                  <c:v>23.15</c:v>
                </c:pt>
              </c:numCache>
            </c:numRef>
          </c:val>
          <c:extLst>
            <c:ext xmlns:c16="http://schemas.microsoft.com/office/drawing/2014/chart" uri="{C3380CC4-5D6E-409C-BE32-E72D297353CC}">
              <c16:uniqueId val="{00000000-9AC9-4A54-A10C-3056EF7C5B97}"/>
            </c:ext>
          </c:extLst>
        </c:ser>
        <c:dLbls>
          <c:dLblPos val="outEnd"/>
          <c:showLegendKey val="0"/>
          <c:showVal val="1"/>
          <c:showCatName val="0"/>
          <c:showSerName val="0"/>
          <c:showPercent val="0"/>
          <c:showBubbleSize val="0"/>
        </c:dLbls>
        <c:gapWidth val="182"/>
        <c:axId val="729371280"/>
        <c:axId val="729369616"/>
      </c:barChart>
      <c:catAx>
        <c:axId val="729371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369616"/>
        <c:crosses val="autoZero"/>
        <c:auto val="1"/>
        <c:lblAlgn val="ctr"/>
        <c:lblOffset val="100"/>
        <c:noMultiLvlLbl val="0"/>
      </c:catAx>
      <c:valAx>
        <c:axId val="7293696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371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3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'graph-data'!$AF$52:$AF$54</c:f>
              <c:strCache>
                <c:ptCount val="3"/>
                <c:pt idx="0">
                  <c:v>Trong vòng 30 ngày sau khi HĐND tỉnh ban hành Nghị quyết</c:v>
                </c:pt>
                <c:pt idx="1">
                  <c:v>Công khai từ ngày thứ 31 đến ngày thứ 60 sau khi HĐND tỉnh ban hành Nghị quyết</c:v>
                </c:pt>
                <c:pt idx="2">
                  <c:v>Công khai chậm hơn 90 ngày kể từ ngày khi HĐND tỉnh ban hành Nghị quyết </c:v>
                </c:pt>
              </c:strCache>
            </c:strRef>
          </c:cat>
          <c:val>
            <c:numRef>
              <c:f>'graph-data'!$AG$52:$AG$54</c:f>
              <c:numCache>
                <c:formatCode>General</c:formatCode>
                <c:ptCount val="3"/>
                <c:pt idx="0">
                  <c:v>40</c:v>
                </c:pt>
                <c:pt idx="1">
                  <c:v>6</c:v>
                </c:pt>
                <c:pt idx="2">
                  <c:v>11</c:v>
                </c:pt>
              </c:numCache>
            </c:numRef>
          </c:val>
          <c:extLst>
            <c:ext xmlns:c16="http://schemas.microsoft.com/office/drawing/2014/chart" uri="{C3380CC4-5D6E-409C-BE32-E72D297353CC}">
              <c16:uniqueId val="{00000000-19DA-4F9D-A47E-26DA26817C64}"/>
            </c:ext>
          </c:extLst>
        </c:ser>
        <c:dLbls>
          <c:dLblPos val="outEnd"/>
          <c:showLegendKey val="0"/>
          <c:showVal val="1"/>
          <c:showCatName val="0"/>
          <c:showSerName val="0"/>
          <c:showPercent val="0"/>
          <c:showBubbleSize val="0"/>
        </c:dLbls>
        <c:gapWidth val="219"/>
        <c:overlap val="-27"/>
        <c:axId val="917226992"/>
        <c:axId val="917221584"/>
      </c:barChart>
      <c:catAx>
        <c:axId val="91722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221584"/>
        <c:crosses val="autoZero"/>
        <c:auto val="1"/>
        <c:lblAlgn val="ctr"/>
        <c:lblOffset val="100"/>
        <c:noMultiLvlLbl val="0"/>
      </c:catAx>
      <c:valAx>
        <c:axId val="917221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300" b="0" i="0" u="none" strike="noStrike" kern="1200" baseline="0">
                <a:solidFill>
                  <a:schemeClr val="tx1">
                    <a:lumMod val="65000"/>
                    <a:lumOff val="35000"/>
                  </a:schemeClr>
                </a:solidFill>
                <a:latin typeface="+mn-lt"/>
                <a:ea typeface="+mn-ea"/>
                <a:cs typeface="+mn-cs"/>
              </a:defRPr>
            </a:pPr>
            <a:endParaRPr lang="en-US"/>
          </a:p>
        </c:txPr>
        <c:crossAx val="917226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3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'graph-data'!$AF$56:$AF$58</c:f>
              <c:strCache>
                <c:ptCount val="3"/>
                <c:pt idx="0">
                  <c:v>Phản ánh cả 7 biểu trên</c:v>
                </c:pt>
                <c:pt idx="1">
                  <c:v>Phản ánh từ 3 đến 6 biểu</c:v>
                </c:pt>
                <c:pt idx="2">
                  <c:v>Phản ánh dưới 3 biểu</c:v>
                </c:pt>
              </c:strCache>
            </c:strRef>
          </c:cat>
          <c:val>
            <c:numRef>
              <c:f>'graph-data'!$AG$56:$AG$58</c:f>
              <c:numCache>
                <c:formatCode>General</c:formatCode>
                <c:ptCount val="3"/>
                <c:pt idx="0">
                  <c:v>46</c:v>
                </c:pt>
                <c:pt idx="1">
                  <c:v>9</c:v>
                </c:pt>
                <c:pt idx="2">
                  <c:v>2</c:v>
                </c:pt>
              </c:numCache>
            </c:numRef>
          </c:val>
          <c:extLst>
            <c:ext xmlns:c16="http://schemas.microsoft.com/office/drawing/2014/chart" uri="{C3380CC4-5D6E-409C-BE32-E72D297353CC}">
              <c16:uniqueId val="{00000000-CF0F-4E7D-9EAC-A4E88FCF80B5}"/>
            </c:ext>
          </c:extLst>
        </c:ser>
        <c:dLbls>
          <c:dLblPos val="outEnd"/>
          <c:showLegendKey val="0"/>
          <c:showVal val="1"/>
          <c:showCatName val="0"/>
          <c:showSerName val="0"/>
          <c:showPercent val="0"/>
          <c:showBubbleSize val="0"/>
        </c:dLbls>
        <c:gapWidth val="219"/>
        <c:overlap val="-27"/>
        <c:axId val="724276448"/>
        <c:axId val="724275200"/>
      </c:barChart>
      <c:catAx>
        <c:axId val="72427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300" b="0" i="0" u="none" strike="noStrike" kern="1200" baseline="0">
                <a:solidFill>
                  <a:schemeClr val="tx1">
                    <a:lumMod val="65000"/>
                    <a:lumOff val="35000"/>
                  </a:schemeClr>
                </a:solidFill>
                <a:latin typeface="+mn-lt"/>
                <a:ea typeface="+mn-ea"/>
                <a:cs typeface="+mn-cs"/>
              </a:defRPr>
            </a:pPr>
            <a:endParaRPr lang="en-US"/>
          </a:p>
        </c:txPr>
        <c:crossAx val="724275200"/>
        <c:crosses val="autoZero"/>
        <c:auto val="1"/>
        <c:lblAlgn val="ctr"/>
        <c:lblOffset val="100"/>
        <c:noMultiLvlLbl val="0"/>
      </c:catAx>
      <c:valAx>
        <c:axId val="724275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300" b="0" i="0" u="none" strike="noStrike" kern="1200" baseline="0">
                <a:solidFill>
                  <a:schemeClr val="tx1">
                    <a:lumMod val="65000"/>
                    <a:lumOff val="35000"/>
                  </a:schemeClr>
                </a:solidFill>
                <a:latin typeface="+mn-lt"/>
                <a:ea typeface="+mn-ea"/>
                <a:cs typeface="+mn-cs"/>
              </a:defRPr>
            </a:pPr>
            <a:endParaRPr lang="en-US"/>
          </a:p>
        </c:txPr>
        <c:crossAx val="724276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'tru-cot'!$N$45</c:f>
              <c:strCache>
                <c:ptCount val="1"/>
                <c:pt idx="0">
                  <c:v>Kết quả POBI 2017 trung bình</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'tru-cot'!$M$46:$M$52</c:f>
              <c:strCache>
                <c:ptCount val="7"/>
                <c:pt idx="0">
                  <c:v>Bắc Trung Bộ</c:v>
                </c:pt>
                <c:pt idx="1">
                  <c:v>ĐBSCL</c:v>
                </c:pt>
                <c:pt idx="2">
                  <c:v>Đồng bằng sông Hồng </c:v>
                </c:pt>
                <c:pt idx="3">
                  <c:v>Đông Nam Bộ</c:v>
                </c:pt>
                <c:pt idx="4">
                  <c:v>Duyên hải Nam Trung Bộ</c:v>
                </c:pt>
                <c:pt idx="5">
                  <c:v>Tây Nguyên</c:v>
                </c:pt>
                <c:pt idx="6">
                  <c:v>Trung du và miền núi Bắc Bộ</c:v>
                </c:pt>
              </c:strCache>
            </c:strRef>
          </c:cat>
          <c:val>
            <c:numRef>
              <c:f>'tru-cot'!$N$46:$N$52</c:f>
              <c:numCache>
                <c:formatCode>General</c:formatCode>
                <c:ptCount val="7"/>
                <c:pt idx="0">
                  <c:v>28.7</c:v>
                </c:pt>
                <c:pt idx="1">
                  <c:v>26.5</c:v>
                </c:pt>
                <c:pt idx="2">
                  <c:v>24.9</c:v>
                </c:pt>
                <c:pt idx="3">
                  <c:v>33.1</c:v>
                </c:pt>
                <c:pt idx="4">
                  <c:v>40.700000000000003</c:v>
                </c:pt>
                <c:pt idx="5">
                  <c:v>37.299999999999997</c:v>
                </c:pt>
                <c:pt idx="6">
                  <c:v>31.5</c:v>
                </c:pt>
              </c:numCache>
            </c:numRef>
          </c:val>
          <c:extLst>
            <c:ext xmlns:c16="http://schemas.microsoft.com/office/drawing/2014/chart" uri="{C3380CC4-5D6E-409C-BE32-E72D297353CC}">
              <c16:uniqueId val="{00000000-17BB-428A-ADA9-2A6BC589122E}"/>
            </c:ext>
          </c:extLst>
        </c:ser>
        <c:ser>
          <c:idx val="1"/>
          <c:order val="1"/>
          <c:tx>
            <c:strRef>
              <c:f>'tru-cot'!$O$45</c:f>
              <c:strCache>
                <c:ptCount val="1"/>
                <c:pt idx="0">
                  <c:v>Kết quả POBI 2018 trung bình</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'tru-cot'!$M$46:$M$52</c:f>
              <c:strCache>
                <c:ptCount val="7"/>
                <c:pt idx="0">
                  <c:v>Bắc Trung Bộ</c:v>
                </c:pt>
                <c:pt idx="1">
                  <c:v>ĐBSCL</c:v>
                </c:pt>
                <c:pt idx="2">
                  <c:v>Đồng bằng sông Hồng </c:v>
                </c:pt>
                <c:pt idx="3">
                  <c:v>Đông Nam Bộ</c:v>
                </c:pt>
                <c:pt idx="4">
                  <c:v>Duyên hải Nam Trung Bộ</c:v>
                </c:pt>
                <c:pt idx="5">
                  <c:v>Tây Nguyên</c:v>
                </c:pt>
                <c:pt idx="6">
                  <c:v>Trung du và miền núi Bắc Bộ</c:v>
                </c:pt>
              </c:strCache>
            </c:strRef>
          </c:cat>
          <c:val>
            <c:numRef>
              <c:f>'tru-cot'!$O$46:$O$52</c:f>
              <c:numCache>
                <c:formatCode>0.00</c:formatCode>
                <c:ptCount val="7"/>
                <c:pt idx="0">
                  <c:v>40.328205128205127</c:v>
                </c:pt>
                <c:pt idx="1">
                  <c:v>59.155029585798815</c:v>
                </c:pt>
                <c:pt idx="2">
                  <c:v>50.553846153846159</c:v>
                </c:pt>
                <c:pt idx="3">
                  <c:v>54.369230769230761</c:v>
                </c:pt>
                <c:pt idx="4">
                  <c:v>60.903846153846153</c:v>
                </c:pt>
                <c:pt idx="5">
                  <c:v>47.230769230769234</c:v>
                </c:pt>
                <c:pt idx="6">
                  <c:v>42.592307692307692</c:v>
                </c:pt>
              </c:numCache>
            </c:numRef>
          </c:val>
          <c:extLst>
            <c:ext xmlns:c16="http://schemas.microsoft.com/office/drawing/2014/chart" uri="{C3380CC4-5D6E-409C-BE32-E72D297353CC}">
              <c16:uniqueId val="{00000001-17BB-428A-ADA9-2A6BC589122E}"/>
            </c:ext>
          </c:extLst>
        </c:ser>
        <c:ser>
          <c:idx val="2"/>
          <c:order val="2"/>
          <c:tx>
            <c:strRef>
              <c:f>'tru-cot'!$P$45</c:f>
              <c:strCache>
                <c:ptCount val="1"/>
                <c:pt idx="0">
                  <c:v>Kết quả POBI 2019 trung bình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'tru-cot'!$M$46:$M$52</c:f>
              <c:strCache>
                <c:ptCount val="7"/>
                <c:pt idx="0">
                  <c:v>Bắc Trung Bộ</c:v>
                </c:pt>
                <c:pt idx="1">
                  <c:v>ĐBSCL</c:v>
                </c:pt>
                <c:pt idx="2">
                  <c:v>Đồng bằng sông Hồng </c:v>
                </c:pt>
                <c:pt idx="3">
                  <c:v>Đông Nam Bộ</c:v>
                </c:pt>
                <c:pt idx="4">
                  <c:v>Duyên hải Nam Trung Bộ</c:v>
                </c:pt>
                <c:pt idx="5">
                  <c:v>Tây Nguyên</c:v>
                </c:pt>
                <c:pt idx="6">
                  <c:v>Trung du và miền núi Bắc Bộ</c:v>
                </c:pt>
              </c:strCache>
            </c:strRef>
          </c:cat>
          <c:val>
            <c:numRef>
              <c:f>'tru-cot'!$P$46:$P$52</c:f>
              <c:numCache>
                <c:formatCode>General</c:formatCode>
                <c:ptCount val="7"/>
                <c:pt idx="0">
                  <c:v>52.62</c:v>
                </c:pt>
                <c:pt idx="1">
                  <c:v>58.7</c:v>
                </c:pt>
                <c:pt idx="2">
                  <c:v>68.23</c:v>
                </c:pt>
                <c:pt idx="3">
                  <c:v>73.8</c:v>
                </c:pt>
                <c:pt idx="4">
                  <c:v>77.16</c:v>
                </c:pt>
                <c:pt idx="5">
                  <c:v>70.27</c:v>
                </c:pt>
                <c:pt idx="6">
                  <c:v>63.5</c:v>
                </c:pt>
              </c:numCache>
            </c:numRef>
          </c:val>
          <c:extLst>
            <c:ext xmlns:c16="http://schemas.microsoft.com/office/drawing/2014/chart" uri="{C3380CC4-5D6E-409C-BE32-E72D297353CC}">
              <c16:uniqueId val="{00000002-17BB-428A-ADA9-2A6BC589122E}"/>
            </c:ext>
          </c:extLst>
        </c:ser>
        <c:dLbls>
          <c:dLblPos val="outEnd"/>
          <c:showLegendKey val="0"/>
          <c:showVal val="1"/>
          <c:showCatName val="0"/>
          <c:showSerName val="0"/>
          <c:showPercent val="0"/>
          <c:showBubbleSize val="0"/>
        </c:dLbls>
        <c:gapWidth val="219"/>
        <c:overlap val="-27"/>
        <c:axId val="1243257848"/>
        <c:axId val="1243255224"/>
      </c:barChart>
      <c:catAx>
        <c:axId val="1243257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3255224"/>
        <c:crosses val="autoZero"/>
        <c:auto val="1"/>
        <c:lblAlgn val="ctr"/>
        <c:lblOffset val="100"/>
        <c:noMultiLvlLbl val="0"/>
      </c:catAx>
      <c:valAx>
        <c:axId val="1243255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32578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'tru-cot'!$L$2:$L$64</c:f>
              <c:strCache>
                <c:ptCount val="63"/>
                <c:pt idx="0">
                  <c:v>Phú Yên</c:v>
                </c:pt>
                <c:pt idx="1">
                  <c:v>Thái Bình</c:v>
                </c:pt>
                <c:pt idx="2">
                  <c:v>Điện Biên</c:v>
                </c:pt>
                <c:pt idx="3">
                  <c:v>Ninh Bình</c:v>
                </c:pt>
                <c:pt idx="4">
                  <c:v>Đồng Nai</c:v>
                </c:pt>
                <c:pt idx="5">
                  <c:v>Yên Bái</c:v>
                </c:pt>
                <c:pt idx="6">
                  <c:v>Bình Thuận</c:v>
                </c:pt>
                <c:pt idx="7">
                  <c:v>Thanh Hóa</c:v>
                </c:pt>
                <c:pt idx="8">
                  <c:v>Hà Nam</c:v>
                </c:pt>
                <c:pt idx="9">
                  <c:v>Đồng Tháp</c:v>
                </c:pt>
                <c:pt idx="10">
                  <c:v>Tiền Giang</c:v>
                </c:pt>
                <c:pt idx="11">
                  <c:v>Thái Nguyên</c:v>
                </c:pt>
                <c:pt idx="12">
                  <c:v>Sơn La</c:v>
                </c:pt>
                <c:pt idx="13">
                  <c:v>Tây Ninh</c:v>
                </c:pt>
                <c:pt idx="14">
                  <c:v>Kiên Giang</c:v>
                </c:pt>
                <c:pt idx="15">
                  <c:v>Sóc Trăng</c:v>
                </c:pt>
                <c:pt idx="16">
                  <c:v>Trà Vinh</c:v>
                </c:pt>
                <c:pt idx="17">
                  <c:v>Hà Giang</c:v>
                </c:pt>
                <c:pt idx="18">
                  <c:v>Lào Cai</c:v>
                </c:pt>
                <c:pt idx="19">
                  <c:v>Lai Châu</c:v>
                </c:pt>
                <c:pt idx="20">
                  <c:v>Bình Định</c:v>
                </c:pt>
                <c:pt idx="21">
                  <c:v>Hòa Bình</c:v>
                </c:pt>
                <c:pt idx="22">
                  <c:v>Tuyên Quang</c:v>
                </c:pt>
                <c:pt idx="23">
                  <c:v>Hưng Yên</c:v>
                </c:pt>
                <c:pt idx="24">
                  <c:v>Đắk Lắk</c:v>
                </c:pt>
                <c:pt idx="25">
                  <c:v>Bà Rịa - Vũng Tàu</c:v>
                </c:pt>
                <c:pt idx="26">
                  <c:v>Bạc Liêu</c:v>
                </c:pt>
                <c:pt idx="27">
                  <c:v>Ninh Thuận</c:v>
                </c:pt>
                <c:pt idx="28">
                  <c:v>Quảng Ngãi</c:v>
                </c:pt>
                <c:pt idx="29">
                  <c:v>Lâm Đồng</c:v>
                </c:pt>
                <c:pt idx="30">
                  <c:v>Đắk Nông</c:v>
                </c:pt>
                <c:pt idx="31">
                  <c:v>TP. Hồ Chí Minh</c:v>
                </c:pt>
                <c:pt idx="32">
                  <c:v>Kon Tum</c:v>
                </c:pt>
                <c:pt idx="33">
                  <c:v>Bình Dương</c:v>
                </c:pt>
                <c:pt idx="34">
                  <c:v>Hải Phòng</c:v>
                </c:pt>
                <c:pt idx="35">
                  <c:v>Lạng Sơn</c:v>
                </c:pt>
                <c:pt idx="36">
                  <c:v>Vĩnh Phúc</c:v>
                </c:pt>
                <c:pt idx="37">
                  <c:v>Bến Tre</c:v>
                </c:pt>
                <c:pt idx="38">
                  <c:v>Hậu Giang</c:v>
                </c:pt>
                <c:pt idx="39">
                  <c:v>Phú Thọ</c:v>
                </c:pt>
                <c:pt idx="40">
                  <c:v>Quảng Bình</c:v>
                </c:pt>
                <c:pt idx="41">
                  <c:v>Nam Định</c:v>
                </c:pt>
                <c:pt idx="42">
                  <c:v>Bình Phước</c:v>
                </c:pt>
                <c:pt idx="43">
                  <c:v>Cao Bằng</c:v>
                </c:pt>
                <c:pt idx="44">
                  <c:v>Hà Tĩnh</c:v>
                </c:pt>
                <c:pt idx="45">
                  <c:v>Bắc Giang</c:v>
                </c:pt>
                <c:pt idx="46">
                  <c:v>Hải Dương</c:v>
                </c:pt>
                <c:pt idx="47">
                  <c:v>Cần Thơ</c:v>
                </c:pt>
                <c:pt idx="48">
                  <c:v>Gia Lai</c:v>
                </c:pt>
                <c:pt idx="49">
                  <c:v>Long An</c:v>
                </c:pt>
                <c:pt idx="50">
                  <c:v>An Giang</c:v>
                </c:pt>
                <c:pt idx="51">
                  <c:v>Bắc Kạn</c:v>
                </c:pt>
                <c:pt idx="52">
                  <c:v>Quảng Nam</c:v>
                </c:pt>
                <c:pt idx="53">
                  <c:v>Quảng Trị</c:v>
                </c:pt>
                <c:pt idx="54">
                  <c:v>Hà Nội</c:v>
                </c:pt>
                <c:pt idx="55">
                  <c:v>Cà Mau</c:v>
                </c:pt>
                <c:pt idx="56">
                  <c:v>Nghệ An</c:v>
                </c:pt>
                <c:pt idx="57">
                  <c:v>Khánh Hòa</c:v>
                </c:pt>
                <c:pt idx="58">
                  <c:v>Quảng Ninh</c:v>
                </c:pt>
                <c:pt idx="59">
                  <c:v>Thừa Thiên Huế</c:v>
                </c:pt>
                <c:pt idx="60">
                  <c:v>Bắc Ninh</c:v>
                </c:pt>
                <c:pt idx="61">
                  <c:v>Đà Nẵng</c:v>
                </c:pt>
                <c:pt idx="62">
                  <c:v>Vĩnh Long</c:v>
                </c:pt>
              </c:strCache>
            </c:strRef>
          </c:cat>
          <c:val>
            <c:numRef>
              <c:f>'tru-cot'!$M$2:$M$64</c:f>
              <c:numCache>
                <c:formatCode>0.00</c:formatCode>
                <c:ptCount val="63"/>
                <c:pt idx="0">
                  <c:v>1.6949152542372881</c:v>
                </c:pt>
                <c:pt idx="1">
                  <c:v>1.6949152542372881</c:v>
                </c:pt>
                <c:pt idx="2">
                  <c:v>2.5423728813559321</c:v>
                </c:pt>
                <c:pt idx="3">
                  <c:v>2.5423728813559321</c:v>
                </c:pt>
                <c:pt idx="4">
                  <c:v>2.5423728813559321</c:v>
                </c:pt>
                <c:pt idx="5">
                  <c:v>3.3898305084745761</c:v>
                </c:pt>
                <c:pt idx="6">
                  <c:v>3.3898305084745761</c:v>
                </c:pt>
                <c:pt idx="7">
                  <c:v>3.3898305084745761</c:v>
                </c:pt>
                <c:pt idx="8">
                  <c:v>3.3898305084745761</c:v>
                </c:pt>
                <c:pt idx="9">
                  <c:v>3.3898305084745761</c:v>
                </c:pt>
                <c:pt idx="10">
                  <c:v>3.3898305084745761</c:v>
                </c:pt>
                <c:pt idx="11">
                  <c:v>3.3898305084745761</c:v>
                </c:pt>
                <c:pt idx="12">
                  <c:v>3.3898305084745761</c:v>
                </c:pt>
                <c:pt idx="13">
                  <c:v>3.3898305084745761</c:v>
                </c:pt>
                <c:pt idx="14">
                  <c:v>3.3898305084745761</c:v>
                </c:pt>
                <c:pt idx="15">
                  <c:v>3.3898305084745761</c:v>
                </c:pt>
                <c:pt idx="16">
                  <c:v>3.3898305084745761</c:v>
                </c:pt>
                <c:pt idx="17">
                  <c:v>3.3898305084745761</c:v>
                </c:pt>
                <c:pt idx="18">
                  <c:v>3.3898305084745761</c:v>
                </c:pt>
                <c:pt idx="19">
                  <c:v>3.3898305084745761</c:v>
                </c:pt>
                <c:pt idx="20">
                  <c:v>4.2372881355932206</c:v>
                </c:pt>
                <c:pt idx="21">
                  <c:v>4.2372881355932206</c:v>
                </c:pt>
                <c:pt idx="22">
                  <c:v>5.0847457627118642</c:v>
                </c:pt>
                <c:pt idx="23">
                  <c:v>5.0847457627118642</c:v>
                </c:pt>
                <c:pt idx="24">
                  <c:v>5.0847457627118642</c:v>
                </c:pt>
                <c:pt idx="25">
                  <c:v>5.0847457627118642</c:v>
                </c:pt>
                <c:pt idx="26">
                  <c:v>5.0847457627118642</c:v>
                </c:pt>
                <c:pt idx="27">
                  <c:v>5.0847457627118642</c:v>
                </c:pt>
                <c:pt idx="28">
                  <c:v>5.0847457627118642</c:v>
                </c:pt>
                <c:pt idx="29">
                  <c:v>5.9322033898305087</c:v>
                </c:pt>
                <c:pt idx="30">
                  <c:v>5.9322033898305087</c:v>
                </c:pt>
                <c:pt idx="31">
                  <c:v>5.9322033898305087</c:v>
                </c:pt>
                <c:pt idx="32">
                  <c:v>6.7796610169491522</c:v>
                </c:pt>
                <c:pt idx="33">
                  <c:v>6.7796610169491522</c:v>
                </c:pt>
                <c:pt idx="34">
                  <c:v>6.7796610169491522</c:v>
                </c:pt>
                <c:pt idx="35">
                  <c:v>6.7796610169491522</c:v>
                </c:pt>
                <c:pt idx="36">
                  <c:v>6.7796610169491522</c:v>
                </c:pt>
                <c:pt idx="37">
                  <c:v>6.7796610169491522</c:v>
                </c:pt>
                <c:pt idx="38">
                  <c:v>6.7796610169491522</c:v>
                </c:pt>
                <c:pt idx="39">
                  <c:v>6.7796610169491522</c:v>
                </c:pt>
                <c:pt idx="40">
                  <c:v>6.7796610169491522</c:v>
                </c:pt>
                <c:pt idx="41">
                  <c:v>7.6271186440677967</c:v>
                </c:pt>
                <c:pt idx="42">
                  <c:v>7.6271186440677967</c:v>
                </c:pt>
                <c:pt idx="43">
                  <c:v>7.6271186440677967</c:v>
                </c:pt>
                <c:pt idx="44">
                  <c:v>7.6271186440677967</c:v>
                </c:pt>
                <c:pt idx="45">
                  <c:v>8.4745762711864412</c:v>
                </c:pt>
                <c:pt idx="46">
                  <c:v>8.4745762711864412</c:v>
                </c:pt>
                <c:pt idx="47">
                  <c:v>8.4745762711864412</c:v>
                </c:pt>
                <c:pt idx="48">
                  <c:v>8.4745762711864412</c:v>
                </c:pt>
                <c:pt idx="49">
                  <c:v>9.3220338983050848</c:v>
                </c:pt>
                <c:pt idx="50">
                  <c:v>9.3220338983050848</c:v>
                </c:pt>
                <c:pt idx="51">
                  <c:v>9.3220338983050848</c:v>
                </c:pt>
                <c:pt idx="52">
                  <c:v>9.3220338983050848</c:v>
                </c:pt>
                <c:pt idx="53">
                  <c:v>10.169491525423728</c:v>
                </c:pt>
                <c:pt idx="54">
                  <c:v>10.169491525423728</c:v>
                </c:pt>
                <c:pt idx="55">
                  <c:v>10.169491525423728</c:v>
                </c:pt>
                <c:pt idx="56">
                  <c:v>10.169491525423728</c:v>
                </c:pt>
                <c:pt idx="57">
                  <c:v>10.169491525423728</c:v>
                </c:pt>
                <c:pt idx="58">
                  <c:v>10.169491525423728</c:v>
                </c:pt>
                <c:pt idx="59">
                  <c:v>11.864406779661017</c:v>
                </c:pt>
                <c:pt idx="60">
                  <c:v>11.864406779661017</c:v>
                </c:pt>
                <c:pt idx="61">
                  <c:v>14.40677966101695</c:v>
                </c:pt>
                <c:pt idx="62">
                  <c:v>15.254237288135593</c:v>
                </c:pt>
              </c:numCache>
            </c:numRef>
          </c:val>
          <c:extLst>
            <c:ext xmlns:c16="http://schemas.microsoft.com/office/drawing/2014/chart" uri="{C3380CC4-5D6E-409C-BE32-E72D297353CC}">
              <c16:uniqueId val="{00000000-469D-4951-BA07-D75A925E1BD5}"/>
            </c:ext>
          </c:extLst>
        </c:ser>
        <c:dLbls>
          <c:dLblPos val="outEnd"/>
          <c:showLegendKey val="0"/>
          <c:showVal val="1"/>
          <c:showCatName val="0"/>
          <c:showSerName val="0"/>
          <c:showPercent val="0"/>
          <c:showBubbleSize val="0"/>
        </c:dLbls>
        <c:gapWidth val="182"/>
        <c:axId val="917226992"/>
        <c:axId val="917223664"/>
      </c:barChart>
      <c:catAx>
        <c:axId val="917226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crossAx val="917223664"/>
        <c:crosses val="autoZero"/>
        <c:auto val="1"/>
        <c:lblAlgn val="ctr"/>
        <c:lblOffset val="100"/>
        <c:tickLblSkip val="1"/>
        <c:noMultiLvlLbl val="0"/>
      </c:catAx>
      <c:valAx>
        <c:axId val="9172236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226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'graph-data'!$A$76:$A$129</c:f>
              <c:strCache>
                <c:ptCount val="54"/>
                <c:pt idx="0">
                  <c:v>Hưng Yên</c:v>
                </c:pt>
                <c:pt idx="1">
                  <c:v>Thái Nguyên</c:v>
                </c:pt>
                <c:pt idx="2">
                  <c:v>Đắk Lắk</c:v>
                </c:pt>
                <c:pt idx="3">
                  <c:v>Phú Thọ</c:v>
                </c:pt>
                <c:pt idx="4">
                  <c:v>Gia Lai</c:v>
                </c:pt>
                <c:pt idx="5">
                  <c:v>Quảng Bình</c:v>
                </c:pt>
                <c:pt idx="6">
                  <c:v>Bình Phước</c:v>
                </c:pt>
                <c:pt idx="7">
                  <c:v>Hải Phòng</c:v>
                </c:pt>
                <c:pt idx="8">
                  <c:v>Điện Biên</c:v>
                </c:pt>
                <c:pt idx="9">
                  <c:v>Hà Tĩnh</c:v>
                </c:pt>
                <c:pt idx="10">
                  <c:v>Ninh Bình</c:v>
                </c:pt>
                <c:pt idx="11">
                  <c:v>Kon Tum</c:v>
                </c:pt>
                <c:pt idx="12">
                  <c:v>Phú Yên</c:v>
                </c:pt>
                <c:pt idx="13">
                  <c:v>Tiền Giang</c:v>
                </c:pt>
                <c:pt idx="14">
                  <c:v>Lâm Đồng</c:v>
                </c:pt>
                <c:pt idx="15">
                  <c:v>Vĩnh Phúc</c:v>
                </c:pt>
                <c:pt idx="16">
                  <c:v>Thái Bình</c:v>
                </c:pt>
                <c:pt idx="17">
                  <c:v>Long An</c:v>
                </c:pt>
                <c:pt idx="18">
                  <c:v>Lào Cai</c:v>
                </c:pt>
                <c:pt idx="19">
                  <c:v>Thanh Hóa</c:v>
                </c:pt>
                <c:pt idx="20">
                  <c:v>Hà Nam</c:v>
                </c:pt>
                <c:pt idx="21">
                  <c:v>Thừa Thiên Huế</c:v>
                </c:pt>
                <c:pt idx="22">
                  <c:v>Đắk Nông</c:v>
                </c:pt>
                <c:pt idx="23">
                  <c:v>Bắc Ninh</c:v>
                </c:pt>
                <c:pt idx="24">
                  <c:v>TP. Hồ Chí Minh</c:v>
                </c:pt>
                <c:pt idx="25">
                  <c:v>Ninh Thuận</c:v>
                </c:pt>
                <c:pt idx="26">
                  <c:v>Cần Thơ</c:v>
                </c:pt>
                <c:pt idx="27">
                  <c:v>Vĩnh Long</c:v>
                </c:pt>
                <c:pt idx="28">
                  <c:v>Quảng Ngãi</c:v>
                </c:pt>
                <c:pt idx="29">
                  <c:v>Hà Giang</c:v>
                </c:pt>
                <c:pt idx="30">
                  <c:v>Bình Thuận</c:v>
                </c:pt>
                <c:pt idx="31">
                  <c:v>Bắc Kạn</c:v>
                </c:pt>
                <c:pt idx="32">
                  <c:v>Bến Tre</c:v>
                </c:pt>
                <c:pt idx="33">
                  <c:v>Yên Bái</c:v>
                </c:pt>
                <c:pt idx="34">
                  <c:v>Hà Nội</c:v>
                </c:pt>
                <c:pt idx="35">
                  <c:v>An Giang</c:v>
                </c:pt>
                <c:pt idx="36">
                  <c:v>Bình Dương</c:v>
                </c:pt>
                <c:pt idx="37">
                  <c:v>Tây Ninh</c:v>
                </c:pt>
                <c:pt idx="38">
                  <c:v>Kiên Giang</c:v>
                </c:pt>
                <c:pt idx="39">
                  <c:v>Quảng Trị</c:v>
                </c:pt>
                <c:pt idx="40">
                  <c:v>Sơn La</c:v>
                </c:pt>
                <c:pt idx="41">
                  <c:v>Cà Mau</c:v>
                </c:pt>
                <c:pt idx="42">
                  <c:v>Đà Nẵng</c:v>
                </c:pt>
                <c:pt idx="43">
                  <c:v>Trà Vinh</c:v>
                </c:pt>
                <c:pt idx="44">
                  <c:v>Lai Châu</c:v>
                </c:pt>
                <c:pt idx="45">
                  <c:v>Bắc Giang</c:v>
                </c:pt>
                <c:pt idx="46">
                  <c:v>Hải Dương</c:v>
                </c:pt>
                <c:pt idx="47">
                  <c:v>Cao Bằng</c:v>
                </c:pt>
                <c:pt idx="48">
                  <c:v>Khánh Hòa</c:v>
                </c:pt>
                <c:pt idx="49">
                  <c:v>Bình Định</c:v>
                </c:pt>
                <c:pt idx="50">
                  <c:v>Quảng Ninh</c:v>
                </c:pt>
                <c:pt idx="51">
                  <c:v>Quảng Nam</c:v>
                </c:pt>
                <c:pt idx="52">
                  <c:v>Bà Rịa - Vũng Tàu</c:v>
                </c:pt>
                <c:pt idx="53">
                  <c:v>Bạc Liêu</c:v>
                </c:pt>
              </c:strCache>
            </c:strRef>
          </c:cat>
          <c:val>
            <c:numRef>
              <c:f>'graph-data'!$B$76:$B$129</c:f>
              <c:numCache>
                <c:formatCode>General</c:formatCode>
                <c:ptCount val="54"/>
                <c:pt idx="0">
                  <c:v>5.36</c:v>
                </c:pt>
                <c:pt idx="1">
                  <c:v>5.36</c:v>
                </c:pt>
                <c:pt idx="2">
                  <c:v>6.2</c:v>
                </c:pt>
                <c:pt idx="3">
                  <c:v>6.49</c:v>
                </c:pt>
                <c:pt idx="4">
                  <c:v>6.76</c:v>
                </c:pt>
                <c:pt idx="5">
                  <c:v>7.9</c:v>
                </c:pt>
                <c:pt idx="6">
                  <c:v>8.4600000000000009</c:v>
                </c:pt>
                <c:pt idx="7">
                  <c:v>8.4600000000000009</c:v>
                </c:pt>
                <c:pt idx="8">
                  <c:v>9.0299999999999994</c:v>
                </c:pt>
                <c:pt idx="9">
                  <c:v>9.0299999999999994</c:v>
                </c:pt>
                <c:pt idx="10">
                  <c:v>9.32</c:v>
                </c:pt>
                <c:pt idx="11">
                  <c:v>9.59</c:v>
                </c:pt>
                <c:pt idx="12">
                  <c:v>10.17</c:v>
                </c:pt>
                <c:pt idx="13">
                  <c:v>10.44</c:v>
                </c:pt>
                <c:pt idx="14">
                  <c:v>10.73</c:v>
                </c:pt>
                <c:pt idx="15">
                  <c:v>11.29</c:v>
                </c:pt>
                <c:pt idx="16">
                  <c:v>11.29</c:v>
                </c:pt>
                <c:pt idx="17">
                  <c:v>11.56</c:v>
                </c:pt>
                <c:pt idx="18">
                  <c:v>11.56</c:v>
                </c:pt>
                <c:pt idx="19">
                  <c:v>11.58</c:v>
                </c:pt>
                <c:pt idx="20">
                  <c:v>11.58</c:v>
                </c:pt>
                <c:pt idx="21">
                  <c:v>11.85</c:v>
                </c:pt>
                <c:pt idx="22">
                  <c:v>12.41</c:v>
                </c:pt>
                <c:pt idx="23">
                  <c:v>12.98</c:v>
                </c:pt>
                <c:pt idx="24">
                  <c:v>13.25</c:v>
                </c:pt>
                <c:pt idx="25">
                  <c:v>13.25</c:v>
                </c:pt>
                <c:pt idx="26">
                  <c:v>13.27</c:v>
                </c:pt>
                <c:pt idx="27">
                  <c:v>13.83</c:v>
                </c:pt>
                <c:pt idx="28">
                  <c:v>14.12</c:v>
                </c:pt>
                <c:pt idx="29">
                  <c:v>14.12</c:v>
                </c:pt>
                <c:pt idx="30">
                  <c:v>14.41</c:v>
                </c:pt>
                <c:pt idx="31">
                  <c:v>14.41</c:v>
                </c:pt>
                <c:pt idx="32">
                  <c:v>14.41</c:v>
                </c:pt>
                <c:pt idx="33">
                  <c:v>14.68</c:v>
                </c:pt>
                <c:pt idx="34">
                  <c:v>14.95</c:v>
                </c:pt>
                <c:pt idx="35">
                  <c:v>14.95</c:v>
                </c:pt>
                <c:pt idx="36">
                  <c:v>14.97</c:v>
                </c:pt>
                <c:pt idx="37">
                  <c:v>14.97</c:v>
                </c:pt>
                <c:pt idx="38">
                  <c:v>14.97</c:v>
                </c:pt>
                <c:pt idx="39">
                  <c:v>15.25</c:v>
                </c:pt>
                <c:pt idx="40">
                  <c:v>15.25</c:v>
                </c:pt>
                <c:pt idx="41">
                  <c:v>15.53</c:v>
                </c:pt>
                <c:pt idx="42">
                  <c:v>16.100000000000001</c:v>
                </c:pt>
                <c:pt idx="43">
                  <c:v>16.100000000000001</c:v>
                </c:pt>
                <c:pt idx="44">
                  <c:v>16.37</c:v>
                </c:pt>
                <c:pt idx="45">
                  <c:v>16.95</c:v>
                </c:pt>
                <c:pt idx="46">
                  <c:v>16.95</c:v>
                </c:pt>
                <c:pt idx="47">
                  <c:v>16.95</c:v>
                </c:pt>
                <c:pt idx="48">
                  <c:v>16.95</c:v>
                </c:pt>
                <c:pt idx="49">
                  <c:v>17.22</c:v>
                </c:pt>
                <c:pt idx="50">
                  <c:v>17.489999999999998</c:v>
                </c:pt>
                <c:pt idx="51">
                  <c:v>18.64</c:v>
                </c:pt>
                <c:pt idx="52">
                  <c:v>18.64</c:v>
                </c:pt>
                <c:pt idx="53">
                  <c:v>18.64</c:v>
                </c:pt>
              </c:numCache>
            </c:numRef>
          </c:val>
          <c:extLst>
            <c:ext xmlns:c16="http://schemas.microsoft.com/office/drawing/2014/chart" uri="{C3380CC4-5D6E-409C-BE32-E72D297353CC}">
              <c16:uniqueId val="{00000000-F887-4E97-88E4-AD76E6F3C770}"/>
            </c:ext>
          </c:extLst>
        </c:ser>
        <c:dLbls>
          <c:dLblPos val="outEnd"/>
          <c:showLegendKey val="0"/>
          <c:showVal val="1"/>
          <c:showCatName val="0"/>
          <c:showSerName val="0"/>
          <c:showPercent val="0"/>
          <c:showBubbleSize val="0"/>
        </c:dLbls>
        <c:gapWidth val="182"/>
        <c:axId val="733629232"/>
        <c:axId val="733624656"/>
      </c:barChart>
      <c:catAx>
        <c:axId val="733629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3624656"/>
        <c:crosses val="autoZero"/>
        <c:auto val="1"/>
        <c:lblAlgn val="ctr"/>
        <c:lblOffset val="100"/>
        <c:tickLblSkip val="1"/>
        <c:noMultiLvlLbl val="0"/>
      </c:catAx>
      <c:valAx>
        <c:axId val="7336246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3629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'graph-data'!$A$133:$A$135</c:f>
              <c:strCache>
                <c:ptCount val="3"/>
                <c:pt idx="0">
                  <c:v>Trong vòng 05 ngày làm việc kể từ ngày Ủy ban nhân dân tỉnh gửi Báo cáo Dự thảo dự toán ngân sách tỉnh năm 2020 cho đại biểu Hội đồng nhân dân cấp tỉnh</c:v>
                </c:pt>
                <c:pt idx="1">
                  <c:v>Sau 5 ngày và trong khoảng 30 ngày kể từ ngày Ủy ban nhân dân tỉnh gửi Báo cáo Dự thảo dự toán ngân sách tỉnh năm 2020 cho đại biểu Hội đồng nhân dân cấp tỉnh</c:v>
                </c:pt>
                <c:pt idx="2">
                  <c:v>Sau 30 ngày kể từ khi UBND tỉnh gửi Báo cáo Dự thảo dự toán ngân sách tỉnh năm 2020 cho các đại biểu HĐND cấp tỉnh (hoặc không rõ ngày công khai)</c:v>
                </c:pt>
              </c:strCache>
            </c:strRef>
          </c:cat>
          <c:val>
            <c:numRef>
              <c:f>'graph-data'!$B$133:$B$135</c:f>
              <c:numCache>
                <c:formatCode>General</c:formatCode>
                <c:ptCount val="3"/>
                <c:pt idx="0">
                  <c:v>36</c:v>
                </c:pt>
                <c:pt idx="1">
                  <c:v>8</c:v>
                </c:pt>
                <c:pt idx="2">
                  <c:v>10</c:v>
                </c:pt>
              </c:numCache>
            </c:numRef>
          </c:val>
          <c:extLst>
            <c:ext xmlns:c16="http://schemas.microsoft.com/office/drawing/2014/chart" uri="{C3380CC4-5D6E-409C-BE32-E72D297353CC}">
              <c16:uniqueId val="{00000000-5260-4907-8A43-5D77E83C701F}"/>
            </c:ext>
          </c:extLst>
        </c:ser>
        <c:dLbls>
          <c:dLblPos val="outEnd"/>
          <c:showLegendKey val="0"/>
          <c:showVal val="1"/>
          <c:showCatName val="0"/>
          <c:showSerName val="0"/>
          <c:showPercent val="0"/>
          <c:showBubbleSize val="0"/>
        </c:dLbls>
        <c:gapWidth val="219"/>
        <c:overlap val="-27"/>
        <c:axId val="729378352"/>
        <c:axId val="729379600"/>
      </c:barChart>
      <c:catAx>
        <c:axId val="729378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379600"/>
        <c:crosses val="autoZero"/>
        <c:auto val="1"/>
        <c:lblAlgn val="ctr"/>
        <c:lblOffset val="100"/>
        <c:noMultiLvlLbl val="0"/>
      </c:catAx>
      <c:valAx>
        <c:axId val="729379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378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'graph-data'!$B$142</c:f>
              <c:strCache>
                <c:ptCount val="1"/>
                <c:pt idx="0">
                  <c:v>doc_2_scaled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'graph-data'!$A$143:$A$200</c:f>
              <c:strCache>
                <c:ptCount val="58"/>
                <c:pt idx="0">
                  <c:v>Hà Tĩnh</c:v>
                </c:pt>
                <c:pt idx="1">
                  <c:v>Cà Mau</c:v>
                </c:pt>
                <c:pt idx="2">
                  <c:v>Đắk Lắk</c:v>
                </c:pt>
                <c:pt idx="3">
                  <c:v>Hậu Giang</c:v>
                </c:pt>
                <c:pt idx="4">
                  <c:v>Đồng Nai</c:v>
                </c:pt>
                <c:pt idx="5">
                  <c:v>Nghệ An</c:v>
                </c:pt>
                <c:pt idx="6">
                  <c:v>Quảng Ngãi</c:v>
                </c:pt>
                <c:pt idx="7">
                  <c:v>Đồng Tháp</c:v>
                </c:pt>
                <c:pt idx="8">
                  <c:v>Ninh Bình</c:v>
                </c:pt>
                <c:pt idx="9">
                  <c:v>TP. Hồ Chí Minh</c:v>
                </c:pt>
                <c:pt idx="10">
                  <c:v>Gia Lai</c:v>
                </c:pt>
                <c:pt idx="11">
                  <c:v>Sóc Trăng</c:v>
                </c:pt>
                <c:pt idx="12">
                  <c:v>Tiền Giang</c:v>
                </c:pt>
                <c:pt idx="13">
                  <c:v>Hải Phòng</c:v>
                </c:pt>
                <c:pt idx="14">
                  <c:v>Hưng Yên</c:v>
                </c:pt>
                <c:pt idx="15">
                  <c:v>Tuyên Quang</c:v>
                </c:pt>
                <c:pt idx="16">
                  <c:v>Vĩnh Phúc</c:v>
                </c:pt>
                <c:pt idx="17">
                  <c:v>Nam Định</c:v>
                </c:pt>
                <c:pt idx="18">
                  <c:v>Lâm Đồng</c:v>
                </c:pt>
                <c:pt idx="19">
                  <c:v>Phú Thọ</c:v>
                </c:pt>
                <c:pt idx="20">
                  <c:v>Thái Bình</c:v>
                </c:pt>
                <c:pt idx="21">
                  <c:v>Đắk Nông</c:v>
                </c:pt>
                <c:pt idx="22">
                  <c:v>Thái Nguyên</c:v>
                </c:pt>
                <c:pt idx="23">
                  <c:v>Bắc Kạn</c:v>
                </c:pt>
                <c:pt idx="24">
                  <c:v>Sơn La</c:v>
                </c:pt>
                <c:pt idx="25">
                  <c:v>Lào Cai</c:v>
                </c:pt>
                <c:pt idx="26">
                  <c:v>Thanh Hóa</c:v>
                </c:pt>
                <c:pt idx="27">
                  <c:v>Hà Giang</c:v>
                </c:pt>
                <c:pt idx="28">
                  <c:v>Bình Phước</c:v>
                </c:pt>
                <c:pt idx="29">
                  <c:v>Thừa Thiên Huế</c:v>
                </c:pt>
                <c:pt idx="30">
                  <c:v>Tây Ninh</c:v>
                </c:pt>
                <c:pt idx="31">
                  <c:v>Lai Châu</c:v>
                </c:pt>
                <c:pt idx="32">
                  <c:v>Long An</c:v>
                </c:pt>
                <c:pt idx="33">
                  <c:v>Phú Yên</c:v>
                </c:pt>
                <c:pt idx="34">
                  <c:v>Bến Tre</c:v>
                </c:pt>
                <c:pt idx="35">
                  <c:v>Quảng Trị</c:v>
                </c:pt>
                <c:pt idx="36">
                  <c:v>Khánh Hòa</c:v>
                </c:pt>
                <c:pt idx="37">
                  <c:v>Bình Dương</c:v>
                </c:pt>
                <c:pt idx="38">
                  <c:v>Bình Định</c:v>
                </c:pt>
                <c:pt idx="39">
                  <c:v>Hà Nội</c:v>
                </c:pt>
                <c:pt idx="40">
                  <c:v>Quảng Ninh</c:v>
                </c:pt>
                <c:pt idx="41">
                  <c:v>Cần Thơ</c:v>
                </c:pt>
                <c:pt idx="42">
                  <c:v>Điện Biên</c:v>
                </c:pt>
                <c:pt idx="43">
                  <c:v>Yên Bái</c:v>
                </c:pt>
                <c:pt idx="44">
                  <c:v>Đà Nẵng</c:v>
                </c:pt>
                <c:pt idx="45">
                  <c:v>Kon Tum</c:v>
                </c:pt>
                <c:pt idx="46">
                  <c:v>Bắc Ninh</c:v>
                </c:pt>
                <c:pt idx="47">
                  <c:v>Vĩnh Long</c:v>
                </c:pt>
                <c:pt idx="48">
                  <c:v>Quảng Nam</c:v>
                </c:pt>
                <c:pt idx="49">
                  <c:v>Hà Nam</c:v>
                </c:pt>
                <c:pt idx="50">
                  <c:v>Ninh Thuận</c:v>
                </c:pt>
                <c:pt idx="51">
                  <c:v>Bình Thuận</c:v>
                </c:pt>
                <c:pt idx="52">
                  <c:v>Bắc Giang</c:v>
                </c:pt>
                <c:pt idx="53">
                  <c:v>Hải Dương</c:v>
                </c:pt>
                <c:pt idx="54">
                  <c:v>An Giang</c:v>
                </c:pt>
                <c:pt idx="55">
                  <c:v>Cao Bằng</c:v>
                </c:pt>
                <c:pt idx="56">
                  <c:v>Trà Vinh</c:v>
                </c:pt>
                <c:pt idx="57">
                  <c:v>Bà Rịa - Vũng Tàu</c:v>
                </c:pt>
              </c:strCache>
            </c:strRef>
          </c:cat>
          <c:val>
            <c:numRef>
              <c:f>'graph-data'!$B$143:$B$200</c:f>
              <c:numCache>
                <c:formatCode>General</c:formatCode>
                <c:ptCount val="58"/>
                <c:pt idx="0">
                  <c:v>1.97</c:v>
                </c:pt>
                <c:pt idx="1">
                  <c:v>4.22</c:v>
                </c:pt>
                <c:pt idx="2">
                  <c:v>5.64</c:v>
                </c:pt>
                <c:pt idx="3">
                  <c:v>6.2</c:v>
                </c:pt>
                <c:pt idx="4">
                  <c:v>6.75</c:v>
                </c:pt>
                <c:pt idx="5">
                  <c:v>7.05</c:v>
                </c:pt>
                <c:pt idx="6">
                  <c:v>7.61</c:v>
                </c:pt>
                <c:pt idx="7">
                  <c:v>7.9</c:v>
                </c:pt>
                <c:pt idx="8">
                  <c:v>7.9</c:v>
                </c:pt>
                <c:pt idx="9">
                  <c:v>8.17</c:v>
                </c:pt>
                <c:pt idx="10">
                  <c:v>8.19</c:v>
                </c:pt>
                <c:pt idx="11">
                  <c:v>8.4600000000000009</c:v>
                </c:pt>
                <c:pt idx="12">
                  <c:v>8.4600000000000009</c:v>
                </c:pt>
                <c:pt idx="13">
                  <c:v>8.75</c:v>
                </c:pt>
                <c:pt idx="14">
                  <c:v>9.02</c:v>
                </c:pt>
                <c:pt idx="15">
                  <c:v>9.32</c:v>
                </c:pt>
                <c:pt idx="16">
                  <c:v>9.32</c:v>
                </c:pt>
                <c:pt idx="17">
                  <c:v>9.8800000000000008</c:v>
                </c:pt>
                <c:pt idx="18">
                  <c:v>9.8800000000000008</c:v>
                </c:pt>
                <c:pt idx="19">
                  <c:v>10.44</c:v>
                </c:pt>
                <c:pt idx="20">
                  <c:v>10.44</c:v>
                </c:pt>
                <c:pt idx="21">
                  <c:v>10.71</c:v>
                </c:pt>
                <c:pt idx="22">
                  <c:v>10.98</c:v>
                </c:pt>
                <c:pt idx="23">
                  <c:v>11.02</c:v>
                </c:pt>
                <c:pt idx="24">
                  <c:v>11.02</c:v>
                </c:pt>
                <c:pt idx="25">
                  <c:v>11.56</c:v>
                </c:pt>
                <c:pt idx="26">
                  <c:v>11.58</c:v>
                </c:pt>
                <c:pt idx="27">
                  <c:v>11.58</c:v>
                </c:pt>
                <c:pt idx="28">
                  <c:v>11.85</c:v>
                </c:pt>
                <c:pt idx="29">
                  <c:v>11.85</c:v>
                </c:pt>
                <c:pt idx="30">
                  <c:v>12.14</c:v>
                </c:pt>
                <c:pt idx="31">
                  <c:v>12.14</c:v>
                </c:pt>
                <c:pt idx="32">
                  <c:v>12.41</c:v>
                </c:pt>
                <c:pt idx="33">
                  <c:v>12.71</c:v>
                </c:pt>
                <c:pt idx="34">
                  <c:v>12.71</c:v>
                </c:pt>
                <c:pt idx="35">
                  <c:v>13.56</c:v>
                </c:pt>
                <c:pt idx="36">
                  <c:v>13.56</c:v>
                </c:pt>
                <c:pt idx="37">
                  <c:v>13.83</c:v>
                </c:pt>
                <c:pt idx="38">
                  <c:v>13.83</c:v>
                </c:pt>
                <c:pt idx="39">
                  <c:v>14.1</c:v>
                </c:pt>
                <c:pt idx="40">
                  <c:v>14.1</c:v>
                </c:pt>
                <c:pt idx="41">
                  <c:v>14.12</c:v>
                </c:pt>
                <c:pt idx="42">
                  <c:v>14.41</c:v>
                </c:pt>
                <c:pt idx="43">
                  <c:v>14.41</c:v>
                </c:pt>
                <c:pt idx="44">
                  <c:v>14.41</c:v>
                </c:pt>
                <c:pt idx="45">
                  <c:v>14.68</c:v>
                </c:pt>
                <c:pt idx="46">
                  <c:v>14.68</c:v>
                </c:pt>
                <c:pt idx="47">
                  <c:v>14.68</c:v>
                </c:pt>
                <c:pt idx="48">
                  <c:v>14.68</c:v>
                </c:pt>
                <c:pt idx="49">
                  <c:v>15.25</c:v>
                </c:pt>
                <c:pt idx="50">
                  <c:v>15.25</c:v>
                </c:pt>
                <c:pt idx="51">
                  <c:v>15.25</c:v>
                </c:pt>
                <c:pt idx="52">
                  <c:v>15.25</c:v>
                </c:pt>
                <c:pt idx="53">
                  <c:v>15.25</c:v>
                </c:pt>
                <c:pt idx="54">
                  <c:v>15.53</c:v>
                </c:pt>
                <c:pt idx="55">
                  <c:v>16.100000000000001</c:v>
                </c:pt>
                <c:pt idx="56">
                  <c:v>16.95</c:v>
                </c:pt>
                <c:pt idx="57">
                  <c:v>16.95</c:v>
                </c:pt>
              </c:numCache>
            </c:numRef>
          </c:val>
          <c:extLst>
            <c:ext xmlns:c16="http://schemas.microsoft.com/office/drawing/2014/chart" uri="{C3380CC4-5D6E-409C-BE32-E72D297353CC}">
              <c16:uniqueId val="{00000000-A21E-4DB6-A14A-AA759991822A}"/>
            </c:ext>
          </c:extLst>
        </c:ser>
        <c:dLbls>
          <c:dLblPos val="outEnd"/>
          <c:showLegendKey val="0"/>
          <c:showVal val="1"/>
          <c:showCatName val="0"/>
          <c:showSerName val="0"/>
          <c:showPercent val="0"/>
          <c:showBubbleSize val="0"/>
        </c:dLbls>
        <c:gapWidth val="182"/>
        <c:axId val="804910784"/>
        <c:axId val="804912448"/>
      </c:barChart>
      <c:catAx>
        <c:axId val="804910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4912448"/>
        <c:crosses val="autoZero"/>
        <c:auto val="1"/>
        <c:lblAlgn val="ctr"/>
        <c:lblOffset val="100"/>
        <c:tickLblSkip val="1"/>
        <c:noMultiLvlLbl val="0"/>
      </c:catAx>
      <c:valAx>
        <c:axId val="8049124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4910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'graph-data'!$F$133:$F$135</c:f>
              <c:strCache>
                <c:ptCount val="3"/>
                <c:pt idx="0">
                  <c:v>Trong vòng 30 ngày sau khi HĐND cấp tỉnh ban hành Nghị quyết về dự toán NSNN năm 2019 của tỉnh </c:v>
                </c:pt>
                <c:pt idx="1">
                  <c:v>Công khai từ ngày thứ 31 đến ngày thứ 60 sau khi HĐND tỉnh ban hành Nghị quyết về dự toán NSNN năm 2019 của tỉnh</c:v>
                </c:pt>
                <c:pt idx="2">
                  <c:v>Công khai chậm hơn 90 ngày kể từ ngày khi HND cấp tỉnh ban hành Nghị quyết về dự toán NSNN năm 2019 của tỉnh  </c:v>
                </c:pt>
              </c:strCache>
            </c:strRef>
          </c:cat>
          <c:val>
            <c:numRef>
              <c:f>'graph-data'!$G$133:$G$135</c:f>
              <c:numCache>
                <c:formatCode>General</c:formatCode>
                <c:ptCount val="3"/>
                <c:pt idx="0">
                  <c:v>35</c:v>
                </c:pt>
                <c:pt idx="1">
                  <c:v>14</c:v>
                </c:pt>
                <c:pt idx="2">
                  <c:v>9</c:v>
                </c:pt>
              </c:numCache>
            </c:numRef>
          </c:val>
          <c:extLst>
            <c:ext xmlns:c16="http://schemas.microsoft.com/office/drawing/2014/chart" uri="{C3380CC4-5D6E-409C-BE32-E72D297353CC}">
              <c16:uniqueId val="{00000000-D1D6-43F0-B1F9-E36A975ECA39}"/>
            </c:ext>
          </c:extLst>
        </c:ser>
        <c:dLbls>
          <c:dLblPos val="outEnd"/>
          <c:showLegendKey val="0"/>
          <c:showVal val="1"/>
          <c:showCatName val="0"/>
          <c:showSerName val="0"/>
          <c:showPercent val="0"/>
          <c:showBubbleSize val="0"/>
        </c:dLbls>
        <c:gapWidth val="219"/>
        <c:overlap val="-27"/>
        <c:axId val="917209936"/>
        <c:axId val="917226576"/>
      </c:barChart>
      <c:catAx>
        <c:axId val="917209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226576"/>
        <c:crosses val="autoZero"/>
        <c:auto val="1"/>
        <c:lblAlgn val="ctr"/>
        <c:lblOffset val="100"/>
        <c:noMultiLvlLbl val="0"/>
      </c:catAx>
      <c:valAx>
        <c:axId val="917226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209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'graph-data'!$F$137:$F$139</c:f>
              <c:strCache>
                <c:ptCount val="3"/>
                <c:pt idx="0">
                  <c:v>Phản ánh cả 13 biểu trên</c:v>
                </c:pt>
                <c:pt idx="1">
                  <c:v>Chỉ phản ánh 7 đến 12 biểu</c:v>
                </c:pt>
                <c:pt idx="2">
                  <c:v>Phản ánh dưới 7 biểu</c:v>
                </c:pt>
              </c:strCache>
            </c:strRef>
          </c:cat>
          <c:val>
            <c:numRef>
              <c:f>'graph-data'!$G$137:$G$139</c:f>
              <c:numCache>
                <c:formatCode>General</c:formatCode>
                <c:ptCount val="3"/>
                <c:pt idx="0">
                  <c:v>27</c:v>
                </c:pt>
                <c:pt idx="1">
                  <c:v>27</c:v>
                </c:pt>
                <c:pt idx="2">
                  <c:v>5</c:v>
                </c:pt>
              </c:numCache>
            </c:numRef>
          </c:val>
          <c:extLst>
            <c:ext xmlns:c16="http://schemas.microsoft.com/office/drawing/2014/chart" uri="{C3380CC4-5D6E-409C-BE32-E72D297353CC}">
              <c16:uniqueId val="{00000000-770F-4556-B289-721E80AED3BD}"/>
            </c:ext>
          </c:extLst>
        </c:ser>
        <c:dLbls>
          <c:dLblPos val="outEnd"/>
          <c:showLegendKey val="0"/>
          <c:showVal val="1"/>
          <c:showCatName val="0"/>
          <c:showSerName val="0"/>
          <c:showPercent val="0"/>
          <c:showBubbleSize val="0"/>
        </c:dLbls>
        <c:gapWidth val="219"/>
        <c:overlap val="-27"/>
        <c:axId val="917214512"/>
        <c:axId val="917229072"/>
      </c:barChart>
      <c:catAx>
        <c:axId val="91721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229072"/>
        <c:crosses val="autoZero"/>
        <c:auto val="1"/>
        <c:lblAlgn val="ctr"/>
        <c:lblOffset val="100"/>
        <c:noMultiLvlLbl val="0"/>
      </c:catAx>
      <c:valAx>
        <c:axId val="917229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214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0.6916</cdr:x>
      <cdr:y>0.01338</cdr:y>
    </cdr:from>
    <cdr:to>
      <cdr:x>0.6916</cdr:x>
      <cdr:y>0.982</cdr:y>
    </cdr:to>
    <cdr:cxnSp macro="">
      <cdr:nvCxnSpPr>
        <cdr:cNvPr id="3" name="Straight Connector 2">
          <a:extLst xmlns:a="http://schemas.openxmlformats.org/drawingml/2006/main">
            <a:ext uri="{FF2B5EF4-FFF2-40B4-BE49-F238E27FC236}">
              <a16:creationId xmlns:a16="http://schemas.microsoft.com/office/drawing/2014/main" id="{4D678147-AF64-483F-A8C7-07AA05340DDF}"/>
            </a:ext>
          </a:extLst>
        </cdr:cNvPr>
        <cdr:cNvCxnSpPr/>
      </cdr:nvCxnSpPr>
      <cdr:spPr>
        <a:xfrm xmlns:a="http://schemas.openxmlformats.org/drawingml/2006/main" flipH="1">
          <a:off x="3583615" y="116589"/>
          <a:ext cx="0" cy="8438811"/>
        </a:xfrm>
        <a:prstGeom xmlns:a="http://schemas.openxmlformats.org/drawingml/2006/main" prst="line">
          <a:avLst/>
        </a:prstGeom>
      </cdr:spPr>
      <cdr:style>
        <a:lnRef xmlns:a="http://schemas.openxmlformats.org/drawingml/2006/main" idx="3">
          <a:schemeClr val="dk1"/>
        </a:lnRef>
        <a:fillRef xmlns:a="http://schemas.openxmlformats.org/drawingml/2006/main" idx="0">
          <a:schemeClr val="dk1"/>
        </a:fillRef>
        <a:effectRef xmlns:a="http://schemas.openxmlformats.org/drawingml/2006/main" idx="2">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A16E0-A63E-4A57-A215-5F8385F2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10060</Words>
  <Characters>57347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Chỉ số Công khai Ngân sách Tỉnh - POBI 2019</vt:lpstr>
    </vt:vector>
  </TitlesOfParts>
  <Company/>
  <LinksUpToDate>false</LinksUpToDate>
  <CharactersWithSpaces>67273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Chỉ số Công khai Ngân sách Tỉnh - POBI 2019</dc:title>
  <dc:creator>Hiếu Nguyễn</dc:creator>
  <cp:keywords/>
  <cp:lastModifiedBy>PHAM-HANG</cp:lastModifiedBy>
  <cp:revision>3</cp:revision>
  <cp:lastPrinted>2020-07-06T03:10:00Z</cp:lastPrinted>
  <dcterms:created xsi:type="dcterms:W3CDTF">2020-07-07T09:44:00Z</dcterms:created>
  <dcterms:modified xsi:type="dcterms:W3CDTF">2020-07-08T09:02:00Z</dcterms:modified>
</cp:coreProperties>
</file>